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109855</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4" w:lineRule="exact"/>
        <w:rPr>
          <w:sz w:val="24"/>
          <w:szCs w:val="24"/>
          <w:color w:val="auto"/>
        </w:rPr>
      </w:pPr>
    </w:p>
    <w:p>
      <w:pPr>
        <w:ind w:left="660" w:right="200" w:hanging="634"/>
        <w:spacing w:after="0" w:line="217" w:lineRule="auto"/>
        <w:tabs>
          <w:tab w:leader="none" w:pos="660" w:val="left"/>
        </w:tabs>
        <w:numPr>
          <w:ilvl w:val="0"/>
          <w:numId w:val="1"/>
        </w:numPr>
        <w:rPr>
          <w:rFonts w:ascii="MS PGothic" w:cs="MS PGothic" w:eastAsia="MS PGothic" w:hAnsi="MS PGothic"/>
          <w:sz w:val="29"/>
          <w:szCs w:val="29"/>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60" w:right="180" w:hanging="634"/>
        <w:spacing w:after="0" w:line="217" w:lineRule="auto"/>
        <w:tabs>
          <w:tab w:leader="none" w:pos="660" w:val="left"/>
        </w:tabs>
        <w:numPr>
          <w:ilvl w:val="0"/>
          <w:numId w:val="2"/>
        </w:numPr>
        <w:rPr>
          <w:rFonts w:ascii="MS PGothic" w:cs="MS PGothic" w:eastAsia="MS PGothic" w:hAnsi="MS PGothic"/>
          <w:sz w:val="29"/>
          <w:szCs w:val="29"/>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128905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2"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1"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3960" w:type="dxa"/>
            <w:vAlign w:val="bottom"/>
          </w:tcPr>
          <w:p>
            <w:pPr>
              <w:jc w:val="center"/>
              <w:ind w:right="1942"/>
              <w:spacing w:after="0"/>
              <w:rPr>
                <w:sz w:val="20"/>
                <w:szCs w:val="20"/>
                <w:color w:val="auto"/>
              </w:rPr>
            </w:pPr>
            <w:r>
              <w:rPr>
                <w:rFonts w:ascii="Arial" w:cs="Arial" w:eastAsia="Arial" w:hAnsi="Arial"/>
                <w:sz w:val="18"/>
                <w:szCs w:val="18"/>
                <w:b w:val="1"/>
                <w:bCs w:val="1"/>
                <w:color w:val="auto"/>
                <w:w w:val="86"/>
              </w:rPr>
              <w:t>Wisconsin</w:t>
            </w:r>
          </w:p>
        </w:tc>
        <w:tc>
          <w:tcPr>
            <w:tcW w:w="3140" w:type="dxa"/>
            <w:vAlign w:val="bottom"/>
          </w:tcPr>
          <w:p>
            <w:pPr>
              <w:jc w:val="center"/>
              <w:ind w:left="1942"/>
              <w:spacing w:after="0"/>
              <w:rPr>
                <w:sz w:val="20"/>
                <w:szCs w:val="20"/>
                <w:color w:val="auto"/>
              </w:rPr>
            </w:pPr>
            <w:r>
              <w:rPr>
                <w:rFonts w:ascii="Arial" w:cs="Arial" w:eastAsia="Arial" w:hAnsi="Arial"/>
                <w:sz w:val="18"/>
                <w:szCs w:val="18"/>
                <w:b w:val="1"/>
                <w:bCs w:val="1"/>
                <w:color w:val="auto"/>
                <w:w w:val="91"/>
              </w:rPr>
              <w:t>39-1506125</w:t>
            </w:r>
          </w:p>
        </w:tc>
      </w:tr>
      <w:tr>
        <w:trPr>
          <w:trHeight w:val="144"/>
        </w:trPr>
        <w:tc>
          <w:tcPr>
            <w:tcW w:w="3960" w:type="dxa"/>
            <w:vAlign w:val="bottom"/>
          </w:tcPr>
          <w:p>
            <w:pPr>
              <w:jc w:val="center"/>
              <w:ind w:right="194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2"/>
              <w:spacing w:after="0" w:line="145" w:lineRule="exact"/>
              <w:rPr>
                <w:sz w:val="20"/>
                <w:szCs w:val="20"/>
                <w:color w:val="auto"/>
              </w:rPr>
            </w:pPr>
            <w:r>
              <w:rPr>
                <w:rFonts w:ascii="Arial" w:cs="Arial" w:eastAsia="Arial" w:hAnsi="Arial"/>
                <w:sz w:val="14"/>
                <w:szCs w:val="14"/>
                <w:b w:val="1"/>
                <w:bCs w:val="1"/>
                <w:color w:val="auto"/>
                <w:w w:val="97"/>
              </w:rPr>
              <w:t>(I. R. S. Employer</w:t>
            </w:r>
          </w:p>
        </w:tc>
      </w:tr>
      <w:tr>
        <w:trPr>
          <w:trHeight w:val="186"/>
        </w:trPr>
        <w:tc>
          <w:tcPr>
            <w:tcW w:w="39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5"/>
              </w:rPr>
              <w:t>Incorporation or Organization)</w:t>
            </w:r>
          </w:p>
        </w:tc>
        <w:tc>
          <w:tcPr>
            <w:tcW w:w="3140" w:type="dxa"/>
            <w:vAlign w:val="bottom"/>
          </w:tcPr>
          <w:p>
            <w:pPr>
              <w:jc w:val="center"/>
              <w:ind w:left="19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5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255 Fiserv Drive, Brookfield, WI 53045</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FISV</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0.375% Senior Notes due 2023</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FISV23</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1.125% Senior Notes due 2027</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FISV27</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1.625% Senior Notes due 2030</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FISV30</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2.250% Senior Notes due 2025</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FISV25</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3.000% Senior Notes due 2031</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FISV31</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61" w:lineRule="exact"/>
        <w:rPr>
          <w:sz w:val="24"/>
          <w:szCs w:val="24"/>
          <w:color w:val="auto"/>
        </w:rPr>
      </w:pPr>
    </w:p>
    <w:p>
      <w:pPr>
        <w:spacing w:after="0" w:line="23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50" w:lineRule="exact"/>
        <w:rPr>
          <w:sz w:val="24"/>
          <w:szCs w:val="24"/>
          <w:color w:val="auto"/>
        </w:rPr>
      </w:pPr>
    </w:p>
    <w:p>
      <w:pPr>
        <w:ind w:right="120"/>
        <w:spacing w:after="0" w:line="24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592455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09" w:lineRule="exact"/>
        <w:rPr>
          <w:sz w:val="20"/>
          <w:szCs w:val="20"/>
          <w:color w:val="auto"/>
        </w:rPr>
      </w:pPr>
    </w:p>
    <w:p>
      <w:pPr>
        <w:ind w:right="1540"/>
        <w:spacing w:after="0" w:line="3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r>
        <w:rPr>
          <w:rFonts w:ascii="Arial" w:cs="Arial" w:eastAsia="Arial" w:hAnsi="Arial"/>
          <w:sz w:val="17"/>
          <w:szCs w:val="17"/>
          <w:color w:val="auto"/>
        </w:rPr>
        <w:t xml:space="preserve"> As of October 22, 2021, there were 660,231,928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317500</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00" w:type="dxa"/>
            <w:vAlign w:val="bottom"/>
            <w:gridSpan w:val="1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80" w:type="dxa"/>
            <w:vAlign w:val="bottom"/>
            <w:gridSpan w:val="8"/>
            <w:vMerge w:val="restart"/>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Financial Statements (Unaudited)</w:t>
              </w:r>
            </w:hyperlink>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Income</w:t>
              </w:r>
            </w:hyperlink>
          </w:p>
        </w:tc>
        <w:tc>
          <w:tcPr>
            <w:tcW w:w="6460" w:type="dxa"/>
            <w:vAlign w:val="bottom"/>
            <w:gridSpan w:val="7"/>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1</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Comprehensive Income (Loss)</w:t>
              </w:r>
            </w:hyperlink>
          </w:p>
        </w:tc>
        <w:tc>
          <w:tcPr>
            <w:tcW w:w="4780" w:type="dxa"/>
            <w:vAlign w:val="bottom"/>
            <w:gridSpan w:val="2"/>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Consolidated Balance Sheets</w:t>
              </w:r>
            </w:hyperlink>
          </w:p>
        </w:tc>
        <w:tc>
          <w:tcPr>
            <w:tcW w:w="6940" w:type="dxa"/>
            <w:vAlign w:val="bottom"/>
            <w:gridSpan w:val="9"/>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w:t>
              </w:r>
            </w:hyperlink>
          </w:p>
        </w:tc>
        <w:tc>
          <w:tcPr>
            <w:tcW w:w="6160" w:type="dxa"/>
            <w:vAlign w:val="bottom"/>
            <w:gridSpan w:val="6"/>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5880" w:type="dxa"/>
            <w:vAlign w:val="bottom"/>
            <w:gridSpan w:val="5"/>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720" w:type="dxa"/>
            <w:vAlign w:val="bottom"/>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18"/>
                <w:szCs w:val="18"/>
                <w:color w:val="auto"/>
              </w:rPr>
            </w:pPr>
          </w:p>
        </w:tc>
        <w:tc>
          <w:tcPr>
            <w:tcW w:w="2900" w:type="dxa"/>
            <w:vAlign w:val="bottom"/>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43</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Controls and Procedures</w:t>
              </w:r>
            </w:hyperlink>
          </w:p>
        </w:tc>
        <w:tc>
          <w:tcPr>
            <w:tcW w:w="7580" w:type="dxa"/>
            <w:vAlign w:val="bottom"/>
            <w:gridSpan w:val="11"/>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44</w:t>
              </w:r>
            </w:hyperlink>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PART II – 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Legal Proceedings</w:t>
              </w:r>
            </w:hyperlink>
          </w:p>
        </w:tc>
        <w:tc>
          <w:tcPr>
            <w:tcW w:w="400" w:type="dxa"/>
            <w:vAlign w:val="bottom"/>
            <w:tcBorders>
              <w:top w:val="single" w:sz="8" w:color="0000FF"/>
            </w:tcBorders>
          </w:tcPr>
          <w:p>
            <w:pPr>
              <w:spacing w:after="0"/>
              <w:rPr>
                <w:sz w:val="24"/>
                <w:szCs w:val="24"/>
                <w:color w:val="auto"/>
              </w:rPr>
            </w:pPr>
          </w:p>
        </w:tc>
        <w:tc>
          <w:tcPr>
            <w:tcW w:w="7620" w:type="dxa"/>
            <w:vAlign w:val="bottom"/>
            <w:gridSpan w:val="12"/>
          </w:tcPr>
          <w:p>
            <w:pPr>
              <w:spacing w:after="0"/>
              <w:rPr>
                <w:sz w:val="24"/>
                <w:szCs w:val="24"/>
                <w:color w:val="auto"/>
              </w:rPr>
            </w:pPr>
          </w:p>
        </w:tc>
        <w:tc>
          <w:tcPr>
            <w:tcW w:w="720" w:type="dxa"/>
            <w:vAlign w:val="bottom"/>
          </w:tcPr>
          <w:p>
            <w:pPr>
              <w:jc w:val="center"/>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Unregistered Sales of Equity Securities and Use of Proceeds</w:t>
              </w:r>
            </w:hyperlink>
          </w:p>
        </w:tc>
        <w:tc>
          <w:tcPr>
            <w:tcW w:w="5000" w:type="dxa"/>
            <w:vAlign w:val="bottom"/>
            <w:gridSpan w:val="4"/>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44</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360" w:type="dxa"/>
            <w:vAlign w:val="bottom"/>
            <w:gridSpan w:val="17"/>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720" w:type="dxa"/>
            <w:vAlign w:val="bottom"/>
          </w:tcPr>
          <w:p>
            <w:pPr>
              <w:jc w:val="center"/>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Exhibit Index</w:t>
        </w:r>
      </w:hyperlink>
    </w:p>
    <w:p>
      <w:pPr>
        <w:spacing w:after="0" w:line="23" w:lineRule="exact"/>
        <w:rPr>
          <w:sz w:val="20"/>
          <w:szCs w:val="20"/>
          <w:color w:val="auto"/>
        </w:rPr>
      </w:pPr>
    </w:p>
    <w:p>
      <w:pPr>
        <w:ind w:left="9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6"/>
                <w:szCs w:val="16"/>
                <w:color w:val="auto"/>
              </w:rPr>
            </w:pPr>
          </w:p>
        </w:tc>
        <w:tc>
          <w:tcPr>
            <w:tcW w:w="22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Pr>
          <w:p>
            <w:pPr>
              <w:spacing w:after="0"/>
              <w:rPr>
                <w:sz w:val="18"/>
                <w:szCs w:val="18"/>
                <w:color w:val="auto"/>
              </w:rPr>
            </w:pPr>
          </w:p>
        </w:tc>
        <w:tc>
          <w:tcPr>
            <w:tcW w:w="220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Processing and services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3,407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9,822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9,118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Product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06"/>
        </w:trPr>
        <w:tc>
          <w:tcPr>
            <w:tcW w:w="62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11,020</w:t>
            </w: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360"/>
              <w:spacing w:after="0"/>
              <w:rPr>
                <w:sz w:val="20"/>
                <w:szCs w:val="20"/>
                <w:color w:val="auto"/>
              </w:rPr>
            </w:pPr>
            <w:r>
              <w:rPr>
                <w:rFonts w:ascii="Arial" w:cs="Arial" w:eastAsia="Arial" w:hAnsi="Arial"/>
                <w:sz w:val="16"/>
                <w:szCs w:val="16"/>
                <w:color w:val="auto"/>
              </w:rPr>
              <w:t>Cost of processing and services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4,488</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 of product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3"/>
        </w:trPr>
        <w:tc>
          <w:tcPr>
            <w:tcW w:w="624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businesses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3,527</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10,214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Income before income taxes and income from investments in unconsolidated affiliates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from investments in unconsolidated affiliates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166"/>
        </w:trPr>
        <w:tc>
          <w:tcPr>
            <w:tcW w:w="6240" w:type="dxa"/>
            <w:vAlign w:val="bottom"/>
          </w:tcPr>
          <w:p>
            <w:pPr>
              <w:ind w:left="20"/>
              <w:spacing w:after="0" w:line="166" w:lineRule="exact"/>
              <w:rPr>
                <w:sz w:val="20"/>
                <w:szCs w:val="20"/>
                <w:color w:val="auto"/>
              </w:rPr>
            </w:pPr>
            <w:r>
              <w:rPr>
                <w:rFonts w:ascii="Arial" w:cs="Arial" w:eastAsia="Arial" w:hAnsi="Arial"/>
                <w:sz w:val="16"/>
                <w:szCs w:val="16"/>
                <w:color w:val="auto"/>
              </w:rPr>
              <w:t>Less: net income attributable to noncontrolling interests and redeemable noncontrolling</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 per share – 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Net income attributable to Fiserv, Inc. per share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60"/>
        </w:trPr>
        <w:tc>
          <w:tcPr>
            <w:tcW w:w="6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Shares used in computing net income attributable to Fiserv, Inc. per share: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672.6</w:t>
            </w:r>
          </w:p>
        </w:tc>
        <w:tc>
          <w:tcPr>
            <w:tcW w:w="0" w:type="dxa"/>
            <w:vAlign w:val="bottom"/>
          </w:tcPr>
          <w:p>
            <w:pPr>
              <w:spacing w:after="0"/>
              <w:rPr>
                <w:sz w:val="1"/>
                <w:szCs w:val="1"/>
                <w:color w:val="auto"/>
              </w:rPr>
            </w:pPr>
          </w:p>
        </w:tc>
      </w:tr>
      <w:tr>
        <w:trPr>
          <w:trHeight w:val="210"/>
        </w:trPr>
        <w:tc>
          <w:tcPr>
            <w:tcW w:w="6240" w:type="dxa"/>
            <w:vAlign w:val="bottom"/>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684.1</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60" w:right="40" w:hanging="328"/>
        <w:spacing w:after="0" w:line="230" w:lineRule="auto"/>
        <w:tabs>
          <w:tab w:leader="none" w:pos="64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Includes processing and other fees charged to related party investments accounted for under the equity method of $46 million and $62 million for the three months ended September 30, 2021 and 2020, respectively, and $160 million and $174 million for the nine months ended September 30, 2021 and 2020, respectively (see Note 18).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6"/>
                <w:szCs w:val="16"/>
                <w:color w:val="auto"/>
              </w:rPr>
            </w:pPr>
          </w:p>
        </w:tc>
        <w:tc>
          <w:tcPr>
            <w:tcW w:w="186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86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Fair market value adjustment on cash flow hedges, net of income tax provision of</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 million, $2 million, $1 million and $0 million</w:t>
            </w: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20" w:type="dxa"/>
            <w:vAlign w:val="bottom"/>
          </w:tcPr>
          <w:p>
            <w:pPr>
              <w:ind w:left="200"/>
              <w:spacing w:after="0" w:line="176" w:lineRule="exact"/>
              <w:rPr>
                <w:sz w:val="20"/>
                <w:szCs w:val="20"/>
                <w:color w:val="auto"/>
              </w:rPr>
            </w:pPr>
            <w:r>
              <w:rPr>
                <w:rFonts w:ascii="Arial" w:cs="Arial" w:eastAsia="Arial" w:hAnsi="Arial"/>
                <w:sz w:val="18"/>
                <w:szCs w:val="18"/>
                <w:color w:val="auto"/>
                <w:w w:val="94"/>
              </w:rPr>
              <w:t>Reclassification adjustment for net realized gains on cash flow hedges included in cost of</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ind w:left="460"/>
              <w:spacing w:after="0" w:line="176" w:lineRule="exact"/>
              <w:rPr>
                <w:sz w:val="20"/>
                <w:szCs w:val="20"/>
                <w:color w:val="auto"/>
              </w:rPr>
            </w:pPr>
            <w:r>
              <w:rPr>
                <w:rFonts w:ascii="Arial" w:cs="Arial" w:eastAsia="Arial" w:hAnsi="Arial"/>
                <w:sz w:val="18"/>
                <w:szCs w:val="18"/>
                <w:color w:val="auto"/>
                <w:w w:val="95"/>
              </w:rPr>
              <w:t>processing and services, net of income tax benefit of $1 million, $0 million, $2 million</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460"/>
              <w:spacing w:after="0"/>
              <w:rPr>
                <w:sz w:val="20"/>
                <w:szCs w:val="20"/>
                <w:color w:val="auto"/>
              </w:rPr>
            </w:pPr>
            <w:r>
              <w:rPr>
                <w:rFonts w:ascii="Arial" w:cs="Arial" w:eastAsia="Arial" w:hAnsi="Arial"/>
                <w:sz w:val="18"/>
                <w:szCs w:val="18"/>
                <w:color w:val="auto"/>
              </w:rPr>
              <w:t>and $0 million</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Reclassification adjustment for net realized losses on cash flow hedges included in net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3"/>
              </w:rPr>
              <w:t>interest expense, net of income tax provision of $2 million, $1 million, $4 million and $4</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million</w:t>
            </w: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00"/>
              <w:spacing w:after="0"/>
              <w:rPr>
                <w:sz w:val="20"/>
                <w:szCs w:val="20"/>
                <w:color w:val="auto"/>
              </w:rPr>
            </w:pPr>
            <w:r>
              <w:rPr>
                <w:rFonts w:ascii="Arial" w:cs="Arial" w:eastAsia="Arial" w:hAnsi="Arial"/>
                <w:sz w:val="18"/>
                <w:szCs w:val="18"/>
                <w:color w:val="auto"/>
                <w:w w:val="93"/>
              </w:rPr>
              <w:t>Unrealized gain on defined benefit pension plans, net of income tax provision of $0 million</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comprehensive loss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5"/>
        </w:trPr>
        <w:tc>
          <w:tcPr>
            <w:tcW w:w="6920" w:type="dxa"/>
            <w:vAlign w:val="bottom"/>
          </w:tcPr>
          <w:p>
            <w:pPr>
              <w:ind w:left="200"/>
              <w:spacing w:after="0" w:line="176" w:lineRule="exact"/>
              <w:rPr>
                <w:sz w:val="20"/>
                <w:szCs w:val="20"/>
                <w:color w:val="auto"/>
              </w:rPr>
            </w:pPr>
            <w:r>
              <w:rPr>
                <w:rFonts w:ascii="Arial" w:cs="Arial" w:eastAsia="Arial" w:hAnsi="Arial"/>
                <w:sz w:val="18"/>
                <w:szCs w:val="18"/>
                <w:color w:val="auto"/>
                <w:w w:val="96"/>
              </w:rPr>
              <w:t>Less: net income attributable to noncontrolling interests and redeemable noncontrolling</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920" w:type="dxa"/>
            <w:vAlign w:val="bottom"/>
          </w:tcPr>
          <w:p>
            <w:pPr>
              <w:ind w:left="46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other comprehensive (loss)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Comprehensive income attributable to Fiserv, Inc.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784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 less allowance for doubtful accounts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18,425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16,219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11,603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36,322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costs,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06"/>
        </w:trPr>
        <w:tc>
          <w:tcPr>
            <w:tcW w:w="784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75,767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40" w:type="dxa"/>
            <w:vAlign w:val="bottom"/>
            <w:shd w:val="clear" w:color="auto" w:fill="CCEEFF"/>
          </w:tcPr>
          <w:p>
            <w:pPr>
              <w:ind w:left="318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3,340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and current maturities of 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15,637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4,389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41,290</w:t>
            </w:r>
          </w:p>
        </w:tc>
        <w:tc>
          <w:tcPr>
            <w:tcW w:w="0" w:type="dxa"/>
            <w:vAlign w:val="bottom"/>
          </w:tcPr>
          <w:p>
            <w:pPr>
              <w:spacing w:after="0"/>
              <w:rPr>
                <w:sz w:val="1"/>
                <w:szCs w:val="1"/>
                <w:color w:val="auto"/>
              </w:rPr>
            </w:pP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17)</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Fiserv, Inc. Shareholders’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no par value: 25 million shares authorized; none issued</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840" w:type="dxa"/>
            <w:vAlign w:val="bottom"/>
          </w:tcPr>
          <w:p>
            <w:pPr>
              <w:ind w:left="220"/>
              <w:spacing w:after="0" w:line="166" w:lineRule="exact"/>
              <w:rPr>
                <w:sz w:val="20"/>
                <w:szCs w:val="20"/>
                <w:color w:val="auto"/>
              </w:rPr>
            </w:pPr>
            <w:r>
              <w:rPr>
                <w:rFonts w:ascii="Arial" w:cs="Arial" w:eastAsia="Arial" w:hAnsi="Arial"/>
                <w:sz w:val="16"/>
                <w:szCs w:val="16"/>
                <w:color w:val="auto"/>
                <w:w w:val="99"/>
              </w:rPr>
              <w:t>Common stock, $0.01 par value: 1,800 million shares authorized; 784 million and 789 million shares issued,</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7840" w:type="dxa"/>
            <w:vAlign w:val="bottom"/>
          </w:tcPr>
          <w:p>
            <w:pPr>
              <w:ind w:left="480"/>
              <w:spacing w:after="0"/>
              <w:rPr>
                <w:sz w:val="20"/>
                <w:szCs w:val="20"/>
                <w:color w:val="auto"/>
              </w:rPr>
            </w:pPr>
            <w:r>
              <w:rPr>
                <w:rFonts w:ascii="Arial" w:cs="Arial" w:eastAsia="Arial" w:hAnsi="Arial"/>
                <w:sz w:val="16"/>
                <w:szCs w:val="16"/>
                <w:color w:val="auto"/>
              </w:rPr>
              <w:t>respectively</w:t>
            </w: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23,643</w:t>
            </w:r>
          </w:p>
        </w:tc>
        <w:tc>
          <w:tcPr>
            <w:tcW w:w="0" w:type="dxa"/>
            <w:vAlign w:val="bottom"/>
          </w:tcPr>
          <w:p>
            <w:pPr>
              <w:spacing w:after="0"/>
              <w:rPr>
                <w:sz w:val="1"/>
                <w:szCs w:val="1"/>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 at cost, 124 million and 121 million shares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Fiserv, Inc.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31,596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32,330</w:t>
            </w:r>
          </w:p>
        </w:tc>
        <w:tc>
          <w:tcPr>
            <w:tcW w:w="0" w:type="dxa"/>
            <w:vAlign w:val="bottom"/>
          </w:tcPr>
          <w:p>
            <w:pPr>
              <w:spacing w:after="0"/>
              <w:rPr>
                <w:sz w:val="1"/>
                <w:szCs w:val="1"/>
                <w:color w:val="auto"/>
              </w:rPr>
            </w:pP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33,070</w:t>
            </w: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75,767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18"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Nine Months Ended</w:t>
      </w:r>
    </w:p>
    <w:p>
      <w:pPr>
        <w:jc w:val="center"/>
        <w:ind w:left="774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833</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businesses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Income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Non-cash impairment charges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effects from acquisitions and dispositions: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accounts receivable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Accounts payable and other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2,961</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Capital expenditures, including capitalized software and other intangibles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businesses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Payments for acquisition of businesses, net of cash acquired</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Debt proceeds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8,125</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(9,307)</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proceeds from (repayments of) commercial paper and short-term borrowings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financing costs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Proceeds from issuance of treasury stock</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acquisition-related contingent consideration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(2,785)</w:t>
            </w: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balance</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ending balance</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consolidated financial statements for the three and nine months ended September 30, 2021 and 2020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consolidated financial statements include the accounts of Fiserv, Inc. and its subsidiaries in which the Company holds a controlling financial interest. All intercompany transactions and balances between the Company and its subsidiaries have been eliminated in consolidation. Control is normally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from investments in unconsolidated affiliates and the related tax expense or benefit is reported within the income tax provision in the consolidated statements of income. Significant influence over an affiliate’s operations generally coincides with an ownership interest in an entity of between 20% and 50%.</w:t>
      </w:r>
    </w:p>
    <w:p>
      <w:pPr>
        <w:spacing w:after="0" w:line="1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maintains a majority controlling interest in certain entities, mostly related to consolidated merchant alliances (see Note 18).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early 2020, the world has been, and continues to be, impacted by the novel strain of the coronavirus (“COVID-19”) pandemic. The COVID-19 pandemic, and various measures imposed by the governments of many countries, states, cities and other geographic regions to prevent its spread, have negatively impacted global economic and market conditions, including levels of consumer and business spending. Consequently, the Company’s operating performance, primarily within its merchant acquiring and payment-related businesses, which earn transaction-based fees, has been adversely affected, and may continue to be adversely affected, by the economic impact of the COVID-19 pandemic. The Company has continued to assess the impact of the COVID-19 pandemic on its consolidated financial statements and has determined that there have been no material changes to the significant accounting policies, including estimates and assumptions made by management, included in the Company’s Annual Report on Form 10-K for the year ended December 31, 2020. The Company will continue to monitor developments related to the COVID-19 pandemic; however, the extent to which the COVID-19 pandemic may impact the Company’s future operational and financial performance remains uncertain and cannot be predicted. Changing conditions may also affect the estimates and assumptions made by management and may result in an impairment or other charge that, if incurred, could have a material adverse impact on the Company’s results of operations, total assets and total equity in the period recognized. Events and changes in circumstances arising subsequent to September 30, 2021, including those resulting from the impacts of the COVID-19 pandemic, will be reflected in management’s estimates for future periods.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sheets and totaled $9 million and $13 million at September 30, 2021 and December 31,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$50 million and $48 million at September 30, 2021 and December 31, 2020,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Obligations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Settlement assets and obligations result from timing differences between collection and fulfillment of payment transactions primarily associated with the Company’s merchant acquiring services. Settlement assets represent cash received or amounts receivable from agents, payment networks, bank partners or directly from consumers. Settlement obligations represent amounts payable to merchants and payees. Certain merchant settlement assets that relate to settlement obligations are held by partner banks to which the Company does not have legal ownership but has the right to use the assets to satisfy the related settlement obligations. The Company records settlement obligations for amounts payable to merchants and for outstanding payment instruments issued to payees that have not yet been presented for settlement.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Merchant Credit Losses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 certain merchants to minimize this obligation. Collateral held by the Company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some level of losses due to merchant defaults.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aggregate merchant credit loss expense, recognized by the Company within cost of processing and services in the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was not significant for the three months ended September 30, 2021. The Company recognized aggregate merchant credit loss expense of $35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2020. The Company recognized aggregate merchant credit loss expense of $31 million and $89 million for the nine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2021 and 2020, respectively. The amount of collateral held by the Company was $2.6 billion and $1.2 billion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and December 31, 2020, respectively. The Company maintains an allowance for merchant credit losses that are expected to exceed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collateral held. The allowance includes estimated losses from anticipated chargebacks and fraud events that have been incurred on merchants’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transactions that have been processed but not yet reported to the Company, which is recorded within accounts payable and accrued expenses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as well as estimated losses on refunded amounts to cardholders that have not yet been collected from the merchants, which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within prepaid expenses and other current assets in the consolidated balance sheets. The allowance is based primarily on the Company’s historical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experience of credit losses and other relevant factors such as changes in economic conditions or increases in merchant fraud. The aggregate merchant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allowance was $45 million and $59 million at September 30, 2021 and December 31,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The Company’s most recent annual impairment assessment of its reporting units in the fourth quarter of 2020 determined that its goodwill was not impaired as the estimated fair values exceeded the carrying values. However, it is reasonably possible that future developments related to the economic impact of the COVID-19 pandemic on certain of the Company’s businesses acquired and recorded at fair value through the acquisition of First Data Corporation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(“First Data”) in July 2019, such as an increased duration and intensity of the pandemic and/or government-imposed shutdowns, prolonged economic downturn or recession, or lack of governmental support for recovery, could have a future material impact on one or more of the estimates and assumptions used to evaluate goodwill impairment. There is no accumulated goodwill impairment for the Company through September 30,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17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 maintains investments in various equity securities without a readily determinable fair value. Such investments totaled $95 million and $160 million at September 30, 2021 and December 31, 2020,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income in the consolidated statements of income for the period. During the nine months ended September 30, 2021, the Company remeasured its equity interest in Ondot Systems, Inc. (“Ondot”) to fair value upon acquiring a remaining ownership interest in January 2021, resulting in the recognition of a pre-tax gain of $12 million (see Note 4). Other adjustments made to the values recorded for certain equity securities and gains and losses from sales of equity securities during the three and nine months ended September 30, 2021 and 2020, were not significant.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8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8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ind w:right="490"/>
              <w:spacing w:after="0" w:line="182" w:lineRule="exact"/>
              <w:rPr>
                <w:sz w:val="20"/>
                <w:szCs w:val="20"/>
                <w:color w:val="auto"/>
              </w:rPr>
            </w:pPr>
            <w:r>
              <w:rPr>
                <w:rFonts w:ascii="Arial" w:cs="Arial" w:eastAsia="Arial" w:hAnsi="Arial"/>
                <w:sz w:val="18"/>
                <w:szCs w:val="18"/>
                <w:b w:val="1"/>
                <w:bCs w:val="1"/>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97"/>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2020, the Financial Accounting Standards Board (“FASB”) issued Accounting Standards Update (“ASU”) No. 2020-01,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321), Investments - Equity Method and Joint Ventures (Topic 323), and Derivatives and Hedging (Topic 815): Clarifying the Interactions between Topic 321, Topic 323, and Topic 815 </w:t>
      </w:r>
      <w:r>
        <w:rPr>
          <w:rFonts w:ascii="Arial" w:cs="Arial" w:eastAsia="Arial" w:hAnsi="Arial"/>
          <w:sz w:val="18"/>
          <w:szCs w:val="18"/>
          <w:color w:val="auto"/>
        </w:rPr>
        <w:t>(“ASU 2020-01”), which clarifies certain interactions between the guidance to account for certain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under the equity method of accounting, and forward contracts or purchased options to purchase securities under Topic 321, Topic 323 and Topic 815. For public entities, ASU 2020-01 is effective for fiscal years, including interim periods within those fiscal years, beginning after December 15, 2020. The Company adopted ASU 2020-01 effective January 1, 2021, and the adoption did not have a material impact on its consolidated financial statements.</w:t>
      </w:r>
    </w:p>
    <w:p>
      <w:pPr>
        <w:spacing w:after="0" w:line="14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introduces a number of amendments that are designed to simplify the application of accounting for income taxes. Such amendments include removing certain exceptions for intraperiod tax allocation, interim reporting when a year-to-date loss exceeds the anticipated loss, reflecting the effect of an enacted change in tax laws or rates in the annual effective tax rate and recognition of deferred taxes related to outside basis differences for ownership changes in investments. ASU 2019-12 also provides clarification related to when a step up in the tax basis of goodwill should be considered part of the business combination in which the book goodwill was originally recognized and when it should be considered a separate transaction. In addition, ASU 2019-12 provides guidance on the recognition of a franchise tax (or similar tax) that is partially based on income as an income-based tax and accounting for any incremental amount incurred as a non-income-based tax. For public entities, ASU 2019-12 is effective for fiscal years, including interim periods within those fiscal years, beginning after December 15, 2020, with early adoption permitted. The Company adopted ASU 2019-12 effective January 1, 2021, and the adoption did not have a material impact on its consolidated financial statements.</w:t>
      </w:r>
    </w:p>
    <w:p>
      <w:pPr>
        <w:spacing w:after="0" w:line="13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In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or “CECL”), which prescribes an impairment model for most financial instruments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be collected on the financial instrument. For public entities, ASU 2016-13 is effective for fiscal years, including interim periods within those fiscal years, beginning after December 15, 2019. For most instruments, entities must apply the standard using a cumulative-effect adjustment to beginning retained earnings as of the beginning of the fiscal year of adoption.</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adopted ASU 2016-13 effective January 1, 2020 using the required modified retrospective approach, which resulted in a cumulative-effect decrease to beginning retained earnings of $45 million. Financial assets and liabilities held by the Company subject to the “expected credit loss” model prescribed by CECL include trade and other receivables, net investments in leases, settlement assets and other credit exposures such as financial guarantees not accounted for as insurance.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Company’s operations are comprised of the Merchant Acceptance (“Acceptance”) segment, the Financial Technology (“Fintech”) segment and the Payments and Network (“Payments”) segment. Additional information regarding the Company’s business segments is included in Note 19. The tables below present the Company’s revenue disaggregated by type of revenue, including a reconciliation with its reportable segments. The majority of the Company’s revenue is earned domestically, with revenue generated outside the U.S. comprising approximately 14% of total revenue for each of the three months ended September 30, 2021 and 2020, and 14% and 13% of total revenue for the nine months ended September 30, 2021 and 2020,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180" w:type="dxa"/>
            <w:vAlign w:val="bottom"/>
          </w:tcPr>
          <w:p>
            <w:pPr>
              <w:spacing w:after="0"/>
              <w:rPr>
                <w:sz w:val="13"/>
                <w:szCs w:val="13"/>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80" w:type="dxa"/>
            <w:vAlign w:val="bottom"/>
          </w:tcPr>
          <w:p>
            <w:pPr>
              <w:spacing w:after="0"/>
              <w:rPr>
                <w:sz w:val="13"/>
                <w:szCs w:val="13"/>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18"/>
                <w:szCs w:val="18"/>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733</w:t>
            </w:r>
          </w:p>
        </w:tc>
      </w:tr>
    </w:tbl>
    <w:p>
      <w:pPr>
        <w:spacing w:after="0" w:line="25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$469 million of revenue during the nine months ended September 30, 2021 that was included in the contract liability balance at the beginning of the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includes estimated processing, services and product revenue expected to be recognized in the future related to performance obligations that were unsatisfied (or partially unsatisfied) at September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bl>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applies the optional exemption under Accounting Standards Codification (“ASC”) Topic 606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Pineapple Payments</w:t>
      </w:r>
    </w:p>
    <w:p>
      <w:pPr>
        <w:spacing w:after="0" w:line="171"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On May 4, 2021, the Company acquired Pineapple Payments Holdings, LLC (“Pineapple Payments”), an independent sales organization that provides payment processing, proprietary technology, and payment acceptance solutions for merchants, for approximately $207 million, net of $6 million of acquired cash, and including earn-out provisions estimated at a fair value of $30 million (see Note 6). Pineapple Payments is included within the Acceptance segment, and expands the reach of the Company’s payment solutions through its technology- and relationship-led distribution channels.</w:t>
      </w:r>
    </w:p>
    <w:p>
      <w:pPr>
        <w:spacing w:after="0" w:line="10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three months ended September 30, 2021, the Company identified and recorded measurement period adjustments to the preliminary Pineapple Payments purchase price allocation, which were the result of additional analysis performed and information identified based on facts and circumstances that existed as of the acquisition date. These measurement period adjustments resulted in a decrease to goodwill of $42 million. The offsetting amounts to the change in goodwill were related to an increase in identifiable intangible assets, including customer relationships and residual buyout intangible assets, of $46 million and a decrease in other net assets of $4 million. The Company recorded measurement period adjustments to the identifiable intangible assets as a result of additional refinements to valuations, including estimated future cash flows. Such measurement period adjustments did not have a material impact on the Company’s consolidated statements of income. The updated preliminary purchase price allocation resulted in the recognition of identifiable intangible assets of $127 million, goodwill of $82 million and other net assets of $4 million.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allocation of the purchase price is preliminary and is subject to further adjustment, pending additional refinement and final completion of valuations. Goodwill, of which $59 million is expected to be deductible for tax purposes, is primarily attributed to the anticipated value created by the accelerated delivery of new and innovative capabilities to merchant clients. The preliminary amounts allocated to identifiable intangible assets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Residual buyouts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Non-compete agreements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 results of operations for Pineapple Payments are included in the consolidated results of the Company from the date of acquisition. Pro forma information for this acquisition is not provided because it did not have a material effect on the Company’s consolidated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Ondot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22, 2021, the Company acquired a remaining ownership interest in Ondot, a digital experience platform provider for financial institutions, for approximately $271 million, net of $13 million of acquired cash. The Company previously held a noncontrolling equity interest in Ondot, which was accounted for at cost. The remeasurement of the Company’s previously held equity interest to its acquisition-date fair value resulted in the recognition of a pre-tax gain of $12 million included within other income in the consolidated statements of income during the nine months ended September 30, 2021. Ondot is included within the Payments segment and further expands the Company’s digital capabilities, enhancing its suite of integrated payments, banking and merchant solutions.</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nine months ended September 30, 2021, the Company identified and recorded measurement period adjustments to the preliminary Ondot purchase price allocation, which were the result of additional analysis performed and information identified based on facts and circumstances that existed as of the acquisition date. These measurement period adjustments resulted in a decrease to goodwill of $37 million. The offsetting amounts to the change in goodwill were related to an increase in acquired software and technology of $30 million, customer relationships of $15 million and deferred income tax liabilities of $8 million. The Company recorded measurement period adjustments to the intangible assets as a result of additional refinements to valuations, including estimated future cash flows. Such measurement period adjustments did not have a material impact on the Company’s consolidated statements of income.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purchase price recorded for Ondot was finalized in the third quarter of 2021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5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Receivables and other assets</w:t>
            </w:r>
          </w:p>
        </w:tc>
        <w:tc>
          <w:tcPr>
            <w:tcW w:w="4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Payables and other liabilities</w:t>
            </w:r>
          </w:p>
        </w:tc>
        <w:tc>
          <w:tcPr>
            <w:tcW w:w="44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444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previously held equity interest</w:t>
            </w:r>
          </w:p>
        </w:tc>
        <w:tc>
          <w:tcPr>
            <w:tcW w:w="44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ind w:left="220"/>
              <w:spacing w:after="0"/>
              <w:rPr>
                <w:sz w:val="20"/>
                <w:szCs w:val="20"/>
                <w:color w:val="auto"/>
              </w:rPr>
            </w:pPr>
            <w:r>
              <w:rPr>
                <w:rFonts w:ascii="Arial" w:cs="Arial" w:eastAsia="Arial" w:hAnsi="Arial"/>
                <w:sz w:val="18"/>
                <w:szCs w:val="18"/>
                <w:color w:val="auto"/>
              </w:rPr>
              <w:t>Total purchase price</w:t>
            </w:r>
          </w:p>
        </w:tc>
        <w:tc>
          <w:tcPr>
            <w:tcW w:w="444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440" w:type="dxa"/>
            <w:vAlign w:val="bottom"/>
            <w:vMerge w:val="restart"/>
          </w:tcPr>
          <w:p>
            <w:pPr>
              <w:jc w:val="right"/>
              <w:ind w:right="3190"/>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Goodwill, not deductible for tax purposes, is primarily attributed to the anticipated value created by the combined scale of integrated digital solutions to consumers, merchants, acquirers, networks and card issuers. The amounts allocated to identifiable intangible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 and other</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results of operations for Ondot are included in the consolidated results of the Company from the date of acquisition. Pro forma information for this acquisition is not provided because it did not have a material effect on the Company’s consolidated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June 14, 2021, the Company acquired Spend Labs Inc. (“SpendLabs”), a mobile-native, cloud-based software provider of commercial card payment solutions. SpendLabs is included within the Payments segment and further expands the Company’s digital capabilities across mobile and desktop devices for small and mid-sized businesses. On March 1, 2021, the Company acquired Radius8, Inc. (“Radius8”), a provider of a platform that uses consumer location and other information to drive incremental merchant transactions. Radius8 is included within the Acceptance segment and enhances the Company’s ability to help merchants increase sales, expand mobile application registration and improve one-to-one target marketing. The Company acquired these businesses for an aggregate purchase price of $46 million. The allocation of purchase price for these acquisitions resulted in the recognition of identifiable intangible assets, consisting primarily of acquired software and technology, of $19 million and goodwill of $28 million. The allocation of the purchase price for the SpendLabs acquisition is preliminary and is subject to further adjustment, pending additional refinement and final completion of valuations. The purchase price allocation for the Radius8 acquisition was finalized in the third quarter of 2021. Measurement period adjustments did not have a material impact on the consolidated statements of income. Goodwill, not expected to be deductible for tax purposes, is primarily attributed to the anticipated value created by advancing digital capabilities to the Company’s clients and the customers they serve. The results of operations for these acquired businesses are included in the consolidated results of the Company from the respective dates of acquisition. Pro forma information for these acquisitions is not provided because they did not have a material effect on the Company’s consolidated results of operations.</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March 2, 2020, the Company acquired MerchantPro Express LLC (“MerchantPro”), an independent sales organization that provides processing services, point-of-sale equipment and merchant cash advances to businesses across the U.S. MerchantPro is included within the Acceptance segment and further expands the Company’s merchant services business. On March 18, 2020, the Company acquired Bypass Mobile, LLC (“Bypass”), an independent software vendor and innovator in enterprise point-of-sale systems for sports and entertainment venues, food service management providers and national restaurant chains. Bypass is included within the Acceptance segment and further enhances the Company’s ability to help businesses deliver seamless physical and digital customer experiences. On May 11, 2020, the Company acquired Inlet, LLC (“Inlet”), a provider of secure digital delivery solutions for enterprise and middle-market biller invoices and statements. Inlet is included within the Payments segment and further enhances the Company’s digital bill payment strategy. The Company acquired these businesses for an aggregate purchase price of $167 million, net of $2 million of acquired cash, and including earn-out provisions estimated at a fair value of $45 million (see Note 6). The purchase price allocations for these acquisitions resulted in the recognition of identifiable intangible assets totaling $81 million, goodwill of $90 million, and net assumed liabilities of $4 million. The purchase price allocation for the MerchantPro acquisition was finalized in the third quarter of 2020, and for the Bypass and Inlet acquisitions in the fourth quarter of 2020. Measurement period adjustments did not have a material impact on the consolidated statements of income. The goodwill recognized from these transactions, of which $36 million is deductible for tax purposes, is primarily attributed to synergies and the anticipated value created by selling the Company’s products and services to the acquired businesses’ existing client base.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660" w:type="dxa"/>
            <w:vAlign w:val="bottom"/>
            <w:gridSpan w:val="4"/>
          </w:tcPr>
          <w:p>
            <w:pPr>
              <w:spacing w:after="0"/>
              <w:rPr>
                <w:sz w:val="20"/>
                <w:szCs w:val="20"/>
                <w:color w:val="auto"/>
              </w:rPr>
            </w:pPr>
            <w:r>
              <w:rPr>
                <w:rFonts w:ascii="Arial" w:cs="Arial" w:eastAsia="Arial" w:hAnsi="Arial"/>
                <w:sz w:val="18"/>
                <w:szCs w:val="18"/>
                <w:color w:val="auto"/>
              </w:rPr>
              <w:t>The amounts allocated to identifiable intangible assets were as follows:</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Residual buyouts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11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results of operations for these acquired businesses have been included in the consolidated results of the Company from the respective dates of acquisition. Pro forma information for these acquisitions is not provided because they did not have a material effect on the Company’s consolidated results of operations.</w:t>
      </w:r>
    </w:p>
    <w:p>
      <w:pPr>
        <w:spacing w:after="0" w:line="13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On October 18, 2021, the Company entered into a definitive agreement to acquire BentoBox CMS, Inc. (“BentoBox”), a digital marketing and commerce platform that helps restaurants connect with their guests and that will expand the Company’s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dining solutions and commerce and business management capabilities. The Company expects the acquisition to close in the fourth quarter of 2021, subject to customary approvals and closing conditions. Upon closing of the acquisition, BentoBox will be included within the Acceptance segment.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Effective July 1, 2020, the Company and Bank of America (“BANA”) dissolved the Banc of America Merchant Services joint venture (“BAMS” or the “joint venture”), of which the Company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consist of supporting the transition of the business to each party and an orderly wind down of remaining BAMS assets and liabilities. Pursuant to the separation agreement, the joint venture retains the responsibility for certain contingencies that may arise from pre-dissolution activities, including certain legal claims and contingencies. The Company may be obligated to fund a proportionate share of any such losses as incurred.</w:t>
      </w:r>
    </w:p>
    <w:p>
      <w:pPr>
        <w:spacing w:after="0" w:line="1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transfer of value to BANA was accounted for at fair value as a non pro rata distribution of nonmonetary assets, resulting in the recognition of a pre-tax gain of $36 million, with a related tax expense of $13 million. The pre-tax gain included the revaluation of client contracts allocated to BANA to a fair value of $700 million, as well as an estimated $24 million for certain additional consideration due from the Company to BANA in connection with the dissolution. The pre-tax net gain was recorded within gain on sale of businesses and the tax expense was recorded within the income tax provision in the consolidated statements of income. Noncontrolling interests of the Company were reduced by $726 million and the Company’s additional paid-in capital was reduced by $36 million to account for the wind down of the joint venture and the transfer of a proportionate share of the joint venture’s fair value to BANA (see Note 10). The transfer of value to the Company was accounted for at carryover basis as the Company maintains control of such assets. The business transferred to the Company continues to be operated and managed within the Company’s Acceptance segment.</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fair value of the client contracts upon dissolution of the joint venture was determined using the Multi-Period Excess Earnings Method, a form of the income approach. The determination of the fair value required estimates about discount rates, growth and attrition rates, future expected cash flows and other future events that were judgmental in nature. The fair value measurements were primarily based on significant inputs that were not observable in the market and thus represented a Level 3 measurement of the fair value hierarchy as defined in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The significant assumptions used included the estimated annual net cash flows (including appropriate revenue and profit attributable to the asset, retention rate, applicable tax rate, and contributory asset charges, among other factors), the discount rate, reflecting the risks inherent in the future cash flow stream, an assessment of the asset’s life cycle, and the tax amortization benefit, among other factors.</w:t>
      </w:r>
    </w:p>
    <w:p>
      <w:pPr>
        <w:spacing w:after="0" w:line="1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continues to provide merchant processing and related services to former BAMS clients allocated to BANA, at BAMS pricing, through June 2023. The Company also provides processing and other support services to new BANA merchant clients pursuant to a five-year non-exclusive agreement which, after June 2023, will also apply to the former BAMS clients allocated to BANA. In addition, both the Company and BANA are entitled to certain transition services, at fair value, from each other through June 2023.</w:t>
      </w:r>
    </w:p>
    <w:p>
      <w:pPr>
        <w:spacing w:after="0" w:line="13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February 18, 2020, the Company sold a 60% controlling interest of its Investment Services business, subsequently renamed as Tegra118, LLC (“Tegra118”). The Company received pre-tax proceeds of $578 million, net of related expenses, resulting in a pre-tax gain on the sale of $428 million, with the related tax expense of $112 million recorded through the income tax</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provision, in the consolidated statements of income for the nine months ended September 30, 2020. The pre-tax gain included $176 million related to the remeasurement of the Company’s 40% retained interest based upon the enterprise value of the business. The revenues, expenses and cash flows of the Investment Services business were consolidated into the Company’s financial results through the date of the sale transaction, and are reported within Corporate and Other (see Note 19). In conjunction with the sale transaction, the Company also entered into transition services agreements to provide, at fair value, various administration, business process outsourcing, technical and data center related services for defined periods to Tegra118.</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February 2, 2021, Tegra118 completed a merger with a third party, resulting in a dilution of the Company’s ownership interest in the combined new entity, Wealthtech Holdings, LLC, which was subsequently renamed as InvestCloud Holdings, LLC (“InvestCloud”). In connection with the transaction, the Company made an additional capital contribution of $200 million into the combined entity and recognized a pre-tax gain of $28 million within income from investments in unconsolidated affiliates in the consolidated statements of income, with related tax expense of $6 million recorded through the income tax provision, during the nine months ended September 30, 2021. On June 30, 2021, the Company sold its entire ownership interest in InvestCloud for $466 million, resulting in a pre-tax gain of $33 million recorded within income from investments in unconsolidated affiliates in the consolidated statements of income, with related tax expense of $8 million recorded through the income tax provision, during the nine months ended September 30, 2021. The Company will continue to provide various technical and data center related services under the terms of a pre-existing transition services agreement with InvestCloud, as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518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9"/>
                <w:szCs w:val="9"/>
                <w:color w:val="auto"/>
              </w:rPr>
            </w:pPr>
          </w:p>
        </w:tc>
        <w:tc>
          <w:tcPr>
            <w:tcW w:w="1540" w:type="dxa"/>
            <w:vAlign w:val="bottom"/>
            <w:gridSpan w:val="2"/>
            <w:vMerge w:val="restart"/>
          </w:tcPr>
          <w:p>
            <w:pPr>
              <w:ind w:left="100"/>
              <w:spacing w:after="0" w:line="176" w:lineRule="exact"/>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9"/>
                <w:szCs w:val="9"/>
                <w:color w:val="auto"/>
              </w:rPr>
            </w:pPr>
          </w:p>
        </w:tc>
        <w:tc>
          <w:tcPr>
            <w:tcW w:w="1380" w:type="dxa"/>
            <w:vAlign w:val="bottom"/>
            <w:vMerge w:val="restart"/>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September 30, 2021</w:t>
            </w:r>
          </w:p>
        </w:tc>
        <w:tc>
          <w:tcPr>
            <w:tcW w:w="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518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9"/>
                <w:szCs w:val="9"/>
                <w:color w:val="auto"/>
              </w:rPr>
            </w:pPr>
          </w:p>
        </w:tc>
        <w:tc>
          <w:tcPr>
            <w:tcW w:w="1540" w:type="dxa"/>
            <w:vAlign w:val="bottom"/>
            <w:gridSpan w:val="2"/>
            <w:vMerge w:val="restart"/>
          </w:tcPr>
          <w:p>
            <w:pPr>
              <w:ind w:left="100"/>
              <w:spacing w:after="0" w:line="176" w:lineRule="exact"/>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9"/>
                <w:szCs w:val="9"/>
                <w:color w:val="auto"/>
              </w:rPr>
            </w:pPr>
          </w:p>
        </w:tc>
        <w:tc>
          <w:tcPr>
            <w:tcW w:w="1380" w:type="dxa"/>
            <w:vAlign w:val="bottom"/>
            <w:vMerge w:val="restart"/>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9"/>
                <w:szCs w:val="19"/>
                <w:color w:val="auto"/>
              </w:rPr>
            </w:pPr>
          </w:p>
        </w:tc>
        <w:tc>
          <w:tcPr>
            <w:tcW w:w="138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the above identifiable intangible assets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120" w:type="dxa"/>
            <w:vAlign w:val="bottom"/>
            <w:gridSpan w:val="4"/>
          </w:tcPr>
          <w:p>
            <w:pPr>
              <w:ind w:left="440"/>
              <w:spacing w:after="0"/>
              <w:rPr>
                <w:sz w:val="20"/>
                <w:szCs w:val="20"/>
                <w:color w:val="auto"/>
              </w:rPr>
            </w:pPr>
            <w:r>
              <w:rPr>
                <w:rFonts w:ascii="Arial" w:cs="Arial" w:eastAsia="Arial" w:hAnsi="Arial"/>
                <w:sz w:val="18"/>
                <w:szCs w:val="18"/>
                <w:b w:val="1"/>
                <w:bCs w:val="1"/>
                <w:color w:val="auto"/>
                <w:w w:val="93"/>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12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820" w:type="dxa"/>
            <w:vAlign w:val="bottom"/>
          </w:tcPr>
          <w:p>
            <w:pPr>
              <w:ind w:left="420"/>
              <w:spacing w:after="0" w:line="182" w:lineRule="exact"/>
              <w:rPr>
                <w:sz w:val="20"/>
                <w:szCs w:val="20"/>
                <w:color w:val="auto"/>
              </w:rPr>
            </w:pPr>
            <w:r>
              <w:rPr>
                <w:rFonts w:ascii="Arial" w:cs="Arial" w:eastAsia="Arial" w:hAnsi="Arial"/>
                <w:sz w:val="18"/>
                <w:szCs w:val="18"/>
                <w:b w:val="1"/>
                <w:bCs w:val="1"/>
                <w:color w:val="auto"/>
                <w:w w:val="94"/>
              </w:rPr>
              <w:t>2021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1,937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r>
    </w:tbl>
    <w:p>
      <w:pPr>
        <w:spacing w:after="0" w:line="29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Amortization expense during the three and nine months ended September 30, 2020 included $18 million and $53 million, respectively, of accelerated amortization associated with the termination of certain vendor contracts (see Note 13).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color w:val="auto"/>
        </w:rPr>
        <w:t>The fair values of cash equivalents, trade accounts receivable, settlement assets and obligations, accounts payable, and client deposits approximate their respective carrying values due to the short period of time to maturity. The Company’s derivative instruments are measured on a recurring basis based on foreign currency spot rates and forwards quoted by banks and foreign currency dealers and are marked to market each period (see Note 11). Contingent consideration related to certain of the Company’s acquisitions (see Note 4) is estimated based on the present value of a probability-weighted assessment approach derived from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12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76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Classification</w:t>
            </w:r>
          </w:p>
        </w:tc>
        <w:tc>
          <w:tcPr>
            <w:tcW w:w="1540" w:type="dxa"/>
            <w:vAlign w:val="bottom"/>
          </w:tcPr>
          <w:p>
            <w:pPr>
              <w:jc w:val="center"/>
              <w:ind w:left="90"/>
              <w:spacing w:after="0" w:line="169" w:lineRule="exact"/>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14"/>
                <w:szCs w:val="14"/>
                <w:color w:val="auto"/>
              </w:rPr>
            </w:pPr>
          </w:p>
        </w:tc>
        <w:tc>
          <w:tcPr>
            <w:tcW w:w="164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4"/>
                <w:szCs w:val="14"/>
                <w:color w:val="auto"/>
              </w:rPr>
            </w:pPr>
          </w:p>
        </w:tc>
        <w:tc>
          <w:tcPr>
            <w:tcW w:w="150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760" w:type="dxa"/>
            <w:vAlign w:val="bottom"/>
            <w:vMerge w:val="continue"/>
          </w:tcPr>
          <w:p>
            <w:pPr>
              <w:spacing w:after="0"/>
              <w:rPr>
                <w:sz w:val="16"/>
                <w:szCs w:val="16"/>
                <w:color w:val="auto"/>
              </w:rPr>
            </w:pPr>
          </w:p>
        </w:tc>
        <w:tc>
          <w:tcPr>
            <w:tcW w:w="1540" w:type="dxa"/>
            <w:vAlign w:val="bottom"/>
          </w:tcPr>
          <w:p>
            <w:pPr>
              <w:jc w:val="center"/>
              <w:ind w:left="90"/>
              <w:spacing w:after="0" w:line="189" w:lineRule="exact"/>
              <w:rPr>
                <w:sz w:val="20"/>
                <w:szCs w:val="20"/>
                <w:color w:val="auto"/>
              </w:rPr>
            </w:pPr>
            <w:r>
              <w:rPr>
                <w:rFonts w:ascii="Arial" w:cs="Arial" w:eastAsia="Arial" w:hAnsi="Arial"/>
                <w:sz w:val="18"/>
                <w:szCs w:val="18"/>
                <w:b w:val="1"/>
                <w:bCs w:val="1"/>
                <w:color w:val="auto"/>
                <w:w w:val="96"/>
              </w:rPr>
              <w:t>Hierarchy</w:t>
            </w:r>
          </w:p>
        </w:tc>
        <w:tc>
          <w:tcPr>
            <w:tcW w:w="200" w:type="dxa"/>
            <w:vAlign w:val="bottom"/>
          </w:tcPr>
          <w:p>
            <w:pPr>
              <w:spacing w:after="0"/>
              <w:rPr>
                <w:sz w:val="16"/>
                <w:szCs w:val="16"/>
                <w:color w:val="auto"/>
              </w:rPr>
            </w:pPr>
          </w:p>
        </w:tc>
        <w:tc>
          <w:tcPr>
            <w:tcW w:w="1520" w:type="dxa"/>
            <w:vAlign w:val="bottom"/>
          </w:tcPr>
          <w:p>
            <w:pPr>
              <w:jc w:val="right"/>
              <w:ind w:right="590"/>
              <w:spacing w:after="0" w:line="189"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590"/>
              <w:spacing w:after="0" w:line="189"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Cash flow hedges</w:t>
            </w:r>
          </w:p>
        </w:tc>
        <w:tc>
          <w:tcPr>
            <w:tcW w:w="376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6"/>
              </w:rPr>
              <w:t>Level 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Contingent consideration</w:t>
            </w:r>
          </w:p>
        </w:tc>
        <w:tc>
          <w:tcPr>
            <w:tcW w:w="3760" w:type="dxa"/>
            <w:vAlign w:val="bottom"/>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6"/>
              </w:rPr>
              <w:t>Level 3</w:t>
            </w:r>
          </w:p>
        </w:tc>
        <w:tc>
          <w:tcPr>
            <w:tcW w:w="2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3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long-term liabilities</w:t>
            </w:r>
          </w:p>
        </w:tc>
        <w:tc>
          <w:tcPr>
            <w:tcW w:w="15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6"/>
              </w:rPr>
              <w:t>Level 3</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Contingent debt guarantee</w:t>
            </w:r>
          </w:p>
        </w:tc>
        <w:tc>
          <w:tcPr>
            <w:tcW w:w="3760" w:type="dxa"/>
            <w:vAlign w:val="bottom"/>
          </w:tcPr>
          <w:p>
            <w:pPr>
              <w:ind w:left="300"/>
              <w:spacing w:after="0"/>
              <w:rPr>
                <w:sz w:val="20"/>
                <w:szCs w:val="20"/>
                <w:color w:val="auto"/>
              </w:rPr>
            </w:pPr>
            <w:r>
              <w:rPr>
                <w:rFonts w:ascii="Arial" w:cs="Arial" w:eastAsia="Arial" w:hAnsi="Arial"/>
                <w:sz w:val="18"/>
                <w:szCs w:val="18"/>
                <w:color w:val="auto"/>
              </w:rPr>
              <w:t>Other long-term liabilities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6"/>
              </w:rPr>
              <w:t>Level 3</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debt associated with the receivables securitization agreement, term loan credit agreement,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$21.7 billion and $22.5 billion at September 30, 2021 and December 31, 2020, respectively, and the carrying value was $20.1 billion and $19.9 billion at September 30, 2021 and December 31, 2020, respectively.</w:t>
      </w:r>
    </w:p>
    <w:p>
      <w:pPr>
        <w:spacing w:after="0" w:line="12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 maintains noncontrolling ownership interests in defi SOLUTIONS Group, LLC and Sagent M&amp;C, LLC, respectively, which are accounted for using the equity method of accounting. These joint ventures maintain variable-rate term loan facilities with aggregate outstanding borrowings of $370 million in senior unsecured debt at September 30, 2021 and variable-rate revolving credit facilities with an aggregate borrowing capacity of $45 million with a syndicate of banks, which mature in March 2023. Outstanding borrowings on the revolving credit facilities at September 30, 2021 were $13 million. The Company has guaranteed this debt and does not anticipate that the respective joint ventures will fail to fulfill their debt obligations. The Company maintains a liability for its non-contingent obligations to perform over the term of the guarantees, which is reported within accounts payable and accrued expenses and other long-term liabilities in the consolidated balance sheets. The non-contingent component of the Company’s debt guarantee arrangements is recorded at amortized cost but measured at fair value for disclosure purposes. The carrying value of the Company’s non-contingent liability of $12 million and $18 million approximates the fair value at September 30, 2021 and December 31, 2020, respectively (Level 3 of the fair value hierarchy). Such guarantees will be amortized in future periods over the contractual term. In addition, the Company maintains a contingent liability ($5 million and $8 million at September 30, 2021 and December 31, 2020, respectively, as reported within other long-term liabilities in the consolidated balance sheets), representing the current expected credit losses to which the Company is exposed. This contingent liability is estimated based on certain financial metrics of the respective joint ventures and historical industry data, which is used to develop assumptions of the likelihood the guaranteed parties will default and the level of credit losses in the event a default occurs (Level 3 of the fair value hierarchy). The Company recognized $3 million and $4 million during the three months ended September 30, 2021 and 2020, respectively, and recognized $9 million and $10 million during the nine months ended September 30, 2021 and 2020, respectively, within other income in its consolidated statements of income related to its release from risk under the non-contingent guarantees as well as a change in the provision of estimated credit losses associated with the indebtedness of the joint ventures. The Company has not made any payments under the guarantees, nor has it been called upon to do so.</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certain of the Company’s non-financial assets are measured at fair value on a non-recurring basis, including property and equipment, lease right-of-use (“ROU”) assets, equity securities without a readily determinable fair value, goodwill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and other intangible assets, and are subject to fair value adjustment in certain circumstances. Additional information about fair value adjustments recorded on a non-recurring basis during the three and nine months ended September 30, 2021 and 2020, is included in Note 13 to the consolidated financial statements.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7. Accounts Payable and Accrued Expenses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4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Client deposits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1,303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40" w:type="dxa"/>
            <w:vAlign w:val="bottom"/>
            <w:gridSpan w:val="3"/>
          </w:tcPr>
          <w:p>
            <w:pPr>
              <w:spacing w:after="0"/>
              <w:rPr>
                <w:sz w:val="20"/>
                <w:szCs w:val="20"/>
                <w:color w:val="auto"/>
              </w:rPr>
            </w:pPr>
            <w:r>
              <w:rPr>
                <w:rFonts w:ascii="Arial" w:cs="Arial" w:eastAsia="Arial" w:hAnsi="Arial"/>
                <w:sz w:val="18"/>
                <w:szCs w:val="18"/>
                <w:color w:val="auto"/>
              </w:rPr>
              <w:t>The Company’s debt consisted of the following: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24"/>
                <w:szCs w:val="24"/>
                <w:color w:val="auto"/>
              </w:rPr>
            </w:pPr>
          </w:p>
        </w:tc>
        <w:tc>
          <w:tcPr>
            <w:tcW w:w="1980" w:type="dxa"/>
            <w:vAlign w:val="bottom"/>
            <w:gridSpan w:val="4"/>
          </w:tcPr>
          <w:p>
            <w:pPr>
              <w:ind w:left="6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Foreign lines of credit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4.750% senior notes due June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3.500% senior notes due October 2022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3.800% senior notes due October 2023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2.750% senior notes due July 2024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3.850% senior notes due June 2025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2.250% senior notes due July 2025 (British Pound-denominated)</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3.200% senior notes due July 2026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2.250% senior notes due June 2027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4.200% senior notes due October 2028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3.500% senior notes due July 2029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2.650% senior notes due June 2030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3.000% senior notes due July 2031 (British Pound-denominated)</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4.400% senior notes due July 2049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Receivable securitized loan</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Term loan facility</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U.S. commercial paper notes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was in compliance with all financial debt covenants during the first nine months of 2021. The Company maintains an amended and restated revolving credit facility, which matures in September 2023, with aggregate commitments available for $3.5 billion of total capacity. At September 30, 2021, the receivable securitized loan due in July 2022 was classified in the consolidated balance sheet as long-term, as the Company has the intent to refinance this debt on a long-term basis and the ability to do so under its revolving credit facility.</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May 2021, the Company initiated a U.S. unsecured commercial paper notes program, the proceeds of which are to be used for general corporate purposes. The Company may issue, from time to time, commercial paper notes with maturities of up to 397 days from the date of issuance. Outstanding borrowings under the program were $1.4 billion at September 30, 2021, with a weighted average interest rate of 0.189%. The Company intends to maintain available capacity under its revolving credit facility in an amount at least equal to the outstanding borrowings under its commercial paper notes program. Outstanding borrowings under the commercial paper notes program are classified in the consolidated balance sheet as long-term, as the Company has the intent to refinance these notes on a long-term basis through the continued issuance of new commercial paper notes upon maturity, and the Company also has the ability to refinance such notes under its revolving credit facility.</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nine months ended September 30, 2021, the Company used the net proceeds from the issuance of commercial paper notes to repay borrowings outstanding under its amended and restated revolving credit facility as of the issuance date, to repay the 4.750% senior notes that matured in June 2021, and to pay down outstanding borrowings on its term loan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Noncontrolling Interests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minority partners in two of the Company’s merchant alliance joint ventures maintain redeemable noncontrolling interests which are presented outside of equity and carried at their estimated redemption values. Each minority partner owns 1% of the equity in the respective joint venture; in addition, each minority partner is entitled to a contractually determined share of the respective entity’s income. The agreements contain redemption features whereby interests held by the minority partner are redeemable either (i) at the option of the holder or (ii) upon the occurrence of an event that is not solely within the Company’s control. The joint ventures may be terminated by either party for convenience any time after September 1, 2021 and December 31, 2024, respectively. In the event of termination for cause, as a result of a change in control, or for convenience after the predetermined date, the Company may be required to purchase the minority partner membership interests at a price equal to the fair market value of the minority interest through a distribution in the form of cash, certain merchant contracts of the joint venture, or a combination thereof to the minority partner. In conjunction with the termination of the joint venture, the minority partner may also exercise an option to purchase certain additional merchant contracts at fair market value. In September 2021, the Company and a joint venture minority partner mutually agreed to terminate one of the Company’s merchant alliance joint ventures effective March 2022. The parties have commenced separation negotiations pursuant to the terms of the joint venture agreement. At September 30, 2021, redeemable noncontrolling interests had a total estimated redemption value of $260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interests activity during the nine months ended September 30: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Distributions paid to redeemable noncontrolling interests</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income</w:t>
            </w:r>
          </w:p>
        </w:tc>
        <w:tc>
          <w:tcPr>
            <w:tcW w:w="23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3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80" w:type="dxa"/>
            <w:vAlign w:val="bottom"/>
            <w:vMerge w:val="restart"/>
          </w:tcPr>
          <w:p>
            <w:pPr>
              <w:jc w:val="right"/>
              <w:ind w:right="141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changes in equity during the three and nine months ended September 30,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June 30, 2021</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8"/>
                <w:szCs w:val="18"/>
                <w:color w:val="auto"/>
                <w:vertAlign w:val="superscript"/>
              </w:rPr>
              <w:t>(1)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Distributions paid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Other comprehensive loss</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(326)</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Balance at September 30, 2021</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right="280" w:hanging="328"/>
        <w:spacing w:after="0" w:line="223"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September 30, 2021 is different than the amount presented in the consolidated statement of income due to the net income attributable to redeemable noncontrolling interests of $11 million not included in equity.</w:t>
      </w:r>
    </w:p>
    <w:p>
      <w:pPr>
        <w:spacing w:after="0" w:line="90" w:lineRule="exact"/>
        <w:rPr>
          <w:rFonts w:ascii="Arial" w:cs="Arial" w:eastAsia="Arial" w:hAnsi="Arial"/>
          <w:sz w:val="21"/>
          <w:szCs w:val="21"/>
          <w:color w:val="auto"/>
          <w:vertAlign w:val="superscript"/>
        </w:rPr>
      </w:pPr>
    </w:p>
    <w:p>
      <w:pPr>
        <w:ind w:left="660" w:right="80" w:hanging="328"/>
        <w:spacing w:after="0" w:line="223"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three months ended September 30, 2021 excludes $12 million in distributions paid to redeemable noncontrolling interests and $8 million in distributions to BANA related to the BAMS dissolution (see Note 4) not included in equity.</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June 30, 2020</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8"/>
                <w:szCs w:val="18"/>
                <w:color w:val="auto"/>
                <w:vertAlign w:val="superscript"/>
              </w:rPr>
              <w:t>(1)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Net adjustment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4"/>
                <w:szCs w:val="14"/>
                <w:color w:val="auto"/>
                <w:w w:val="99"/>
              </w:rPr>
              <w:t>interests from dissolution (see Note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4)</w:t>
            </w:r>
          </w:p>
        </w:tc>
        <w:tc>
          <w:tcPr>
            <w:tcW w:w="1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Other comprehensive income (loss)</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(187)</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September 30, 2020</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23,771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60" w:right="280" w:hanging="328"/>
        <w:spacing w:after="0" w:line="223" w:lineRule="auto"/>
        <w:tabs>
          <w:tab w:leader="none" w:pos="64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September 30, 2020 is different than the amount presented in the consolidated statement of income due to the net income attributable to redeemable noncontrolling interests of $11 million not included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Nine Months Ended</w:t>
      </w:r>
    </w:p>
    <w:p>
      <w:pPr>
        <w:ind w:left="20"/>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32" w:lineRule="exact"/>
        <w:rPr>
          <w:sz w:val="20"/>
          <w:szCs w:val="20"/>
          <w:color w:val="auto"/>
        </w:rPr>
      </w:pPr>
    </w:p>
    <w:p>
      <w:pPr>
        <w:ind w:left="20" w:right="440"/>
        <w:spacing w:after="0" w:line="263" w:lineRule="auto"/>
        <w:rPr>
          <w:sz w:val="20"/>
          <w:szCs w:val="20"/>
          <w:color w:val="auto"/>
        </w:rPr>
      </w:pPr>
      <w:r>
        <w:rPr>
          <w:rFonts w:ascii="Arial" w:cs="Arial" w:eastAsia="Arial" w:hAnsi="Arial"/>
          <w:sz w:val="14"/>
          <w:szCs w:val="14"/>
          <w:color w:val="auto"/>
        </w:rPr>
        <w:t xml:space="preserve">Balance at December 31, 2020 Net income </w:t>
      </w:r>
      <w:r>
        <w:rPr>
          <w:rFonts w:ascii="Arial" w:cs="Arial" w:eastAsia="Arial" w:hAnsi="Arial"/>
          <w:sz w:val="18"/>
          <w:szCs w:val="18"/>
          <w:color w:val="auto"/>
          <w:vertAlign w:val="superscript"/>
        </w:rPr>
        <w:t>(1)</w:t>
      </w:r>
    </w:p>
    <w:p>
      <w:pPr>
        <w:ind w:left="180" w:right="140" w:hanging="161"/>
        <w:spacing w:after="0" w:line="211" w:lineRule="auto"/>
        <w:rPr>
          <w:sz w:val="20"/>
          <w:szCs w:val="20"/>
          <w:color w:val="auto"/>
        </w:rPr>
      </w:pPr>
      <w:r>
        <w:rPr>
          <w:rFonts w:ascii="Arial" w:cs="Arial" w:eastAsia="Arial" w:hAnsi="Arial"/>
          <w:sz w:val="14"/>
          <w:szCs w:val="14"/>
          <w:color w:val="auto"/>
        </w:rPr>
        <w:t xml:space="preserve">Distributions paid to noncontrolling interests </w:t>
      </w:r>
      <w:r>
        <w:rPr>
          <w:rFonts w:ascii="Arial" w:cs="Arial" w:eastAsia="Arial" w:hAnsi="Arial"/>
          <w:sz w:val="18"/>
          <w:szCs w:val="18"/>
          <w:color w:val="auto"/>
          <w:vertAlign w:val="superscript"/>
        </w:rPr>
        <w:t>(2)</w:t>
      </w:r>
    </w:p>
    <w:p>
      <w:pPr>
        <w:ind w:left="20"/>
        <w:spacing w:after="0"/>
        <w:rPr>
          <w:sz w:val="20"/>
          <w:szCs w:val="20"/>
          <w:color w:val="auto"/>
        </w:rPr>
      </w:pPr>
      <w:r>
        <w:rPr>
          <w:rFonts w:ascii="Arial" w:cs="Arial" w:eastAsia="Arial" w:hAnsi="Arial"/>
          <w:sz w:val="14"/>
          <w:szCs w:val="14"/>
          <w:color w:val="auto"/>
        </w:rPr>
        <w:t>Other comprehensive loss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issued under stock plans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treasury stock</w:t>
      </w:r>
    </w:p>
    <w:p>
      <w:pPr>
        <w:spacing w:after="0" w:line="28" w:lineRule="exact"/>
        <w:rPr>
          <w:sz w:val="20"/>
          <w:szCs w:val="20"/>
          <w:color w:val="auto"/>
        </w:rPr>
      </w:pPr>
    </w:p>
    <w:p>
      <w:pPr>
        <w:ind w:left="180" w:hanging="161"/>
        <w:spacing w:after="0" w:line="236" w:lineRule="auto"/>
        <w:rPr>
          <w:sz w:val="20"/>
          <w:szCs w:val="20"/>
          <w:color w:val="auto"/>
        </w:rPr>
      </w:pPr>
      <w:r>
        <w:rPr>
          <w:rFonts w:ascii="Arial" w:cs="Arial" w:eastAsia="Arial" w:hAnsi="Arial"/>
          <w:sz w:val="14"/>
          <w:szCs w:val="14"/>
          <w:color w:val="auto"/>
        </w:rPr>
        <w:t>Retirement of treasury stock (see Note 18)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78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789</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23,643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13,441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33,070</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1,001</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(262)</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257"/>
        </w:trPr>
        <w:tc>
          <w:tcPr>
            <w:tcW w:w="9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(588)</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9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32,324</w:t>
            </w: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-1302385</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-1054100</wp:posOffset>
            </wp:positionV>
            <wp:extent cx="71323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-728345</wp:posOffset>
            </wp:positionV>
            <wp:extent cx="713232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-488315</wp:posOffset>
            </wp:positionV>
            <wp:extent cx="71323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-162560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2240" w:space="140"/>
            <w:col w:w="8860"/>
          </w:cols>
          <w:pgMar w:left="320" w:top="125" w:right="339" w:bottom="1440" w:gutter="0" w:footer="0" w:header="0"/>
          <w:type w:val="continuous"/>
        </w:sectPr>
      </w:pPr>
    </w:p>
    <w:p>
      <w:pPr>
        <w:ind w:left="660" w:right="32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nine months ended September 30, 2021 is different than the amount presented in the consolidated statement of income due to the net income attributable to redeemable noncontrolling interests of $33 million not included in equity.</w:t>
      </w:r>
    </w:p>
    <w:p>
      <w:pPr>
        <w:spacing w:after="0" w:line="90" w:lineRule="exact"/>
        <w:rPr>
          <w:rFonts w:ascii="Arial" w:cs="Arial" w:eastAsia="Arial" w:hAnsi="Arial"/>
          <w:sz w:val="21"/>
          <w:szCs w:val="21"/>
          <w:color w:val="auto"/>
          <w:vertAlign w:val="superscript"/>
        </w:rPr>
      </w:pPr>
    </w:p>
    <w:p>
      <w:pPr>
        <w:ind w:left="660" w:right="14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nine months ended September 30, 2021 excludes $32 million in distributions paid to redeemable noncontrolling interests and $8 million in distributions to BANA related to the BAMS dissolution (see Note 4) not included in equity.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2019</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Net income (loss) </w:t>
            </w:r>
            <w:r>
              <w:rPr>
                <w:rFonts w:ascii="Arial" w:cs="Arial" w:eastAsia="Arial" w:hAnsi="Arial"/>
                <w:sz w:val="18"/>
                <w:szCs w:val="18"/>
                <w:color w:val="auto"/>
                <w:vertAlign w:val="superscript"/>
              </w:rPr>
              <w:t>(1)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w w:val="91"/>
              </w:rPr>
              <w:t>Measurement period adjustments related</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to First Data acquisition </w:t>
            </w:r>
            <w:r>
              <w:rPr>
                <w:rFonts w:ascii="Arial" w:cs="Arial" w:eastAsia="Arial" w:hAnsi="Arial"/>
                <w:sz w:val="18"/>
                <w:szCs w:val="18"/>
                <w:color w:val="auto"/>
                <w:vertAlign w:val="superscript"/>
              </w:rPr>
              <w:t>(3)</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4"/>
                <w:szCs w:val="14"/>
                <w:color w:val="auto"/>
              </w:rPr>
              <w:t>Distributions paid to noncontrolling</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ind w:left="160"/>
              <w:spacing w:after="0" w:line="189"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Net adjustment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4"/>
                <w:szCs w:val="14"/>
                <w:color w:val="auto"/>
                <w:w w:val="99"/>
              </w:rPr>
              <w:t>interests from dissolution (see Note</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4)</w:t>
            </w:r>
          </w:p>
        </w:tc>
        <w:tc>
          <w:tcPr>
            <w:tcW w:w="1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Other comprehensive (loss) income</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(651)</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4"/>
                <w:szCs w:val="14"/>
                <w:color w:val="auto"/>
              </w:rPr>
              <w:t>Cumulative-effect adjustment of ASU</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60" w:type="dxa"/>
            <w:vAlign w:val="bottom"/>
            <w:gridSpan w:val="2"/>
            <w:vMerge w:val="restart"/>
          </w:tcPr>
          <w:p>
            <w:pPr>
              <w:ind w:left="160"/>
              <w:spacing w:after="0"/>
              <w:rPr>
                <w:sz w:val="20"/>
                <w:szCs w:val="20"/>
                <w:color w:val="auto"/>
              </w:rPr>
            </w:pPr>
            <w:r>
              <w:rPr>
                <w:rFonts w:ascii="Arial" w:cs="Arial" w:eastAsia="Arial" w:hAnsi="Arial"/>
                <w:sz w:val="14"/>
                <w:szCs w:val="14"/>
                <w:color w:val="auto"/>
              </w:rPr>
              <w:t>2016-13 adoption</w:t>
            </w: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CCEEFF"/>
            </w:tcBorders>
          </w:tcPr>
          <w:p>
            <w:pPr>
              <w:spacing w:after="0"/>
              <w:rPr>
                <w:sz w:val="6"/>
                <w:szCs w:val="6"/>
                <w:color w:val="auto"/>
              </w:rPr>
            </w:pPr>
          </w:p>
        </w:tc>
        <w:tc>
          <w:tcPr>
            <w:tcW w:w="2360" w:type="dxa"/>
            <w:vAlign w:val="bottom"/>
            <w:tcBorders>
              <w:bottom w:val="single" w:sz="8" w:color="CCEEFF"/>
            </w:tcBorders>
            <w:gridSpan w:val="2"/>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September 30, 2020</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23,771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660" w:right="320" w:hanging="328"/>
        <w:spacing w:after="0" w:line="223" w:lineRule="auto"/>
        <w:tabs>
          <w:tab w:leader="none" w:pos="64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nine months ended September 30, 2020 is different than the amount presented in the consolidated statement of income due to the net income attributable to redeemable noncontrolling interests of $29 million not included in equity.</w:t>
      </w:r>
    </w:p>
    <w:p>
      <w:pPr>
        <w:spacing w:after="0" w:line="90" w:lineRule="exact"/>
        <w:rPr>
          <w:rFonts w:ascii="Arial" w:cs="Arial" w:eastAsia="Arial" w:hAnsi="Arial"/>
          <w:sz w:val="21"/>
          <w:szCs w:val="21"/>
          <w:color w:val="auto"/>
          <w:vertAlign w:val="superscript"/>
        </w:rPr>
      </w:pPr>
    </w:p>
    <w:p>
      <w:pPr>
        <w:ind w:left="660" w:right="140" w:hanging="328"/>
        <w:spacing w:after="0" w:line="223" w:lineRule="auto"/>
        <w:tabs>
          <w:tab w:leader="none" w:pos="64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nine months ended September 30, 2020 excludes $31 million in distributions paid to redeemable noncontrolling interests not included in equity.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11. Accumulated Other Comprehensive Loss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gridSpan w:val="9"/>
          </w:tcPr>
          <w:p>
            <w:pPr>
              <w:spacing w:after="0"/>
              <w:rPr>
                <w:sz w:val="20"/>
                <w:szCs w:val="20"/>
                <w:color w:val="auto"/>
              </w:rPr>
            </w:pPr>
            <w:r>
              <w:rPr>
                <w:rFonts w:ascii="Arial" w:cs="Arial" w:eastAsia="Arial" w:hAnsi="Arial"/>
                <w:sz w:val="18"/>
                <w:szCs w:val="18"/>
                <w:color w:val="auto"/>
                <w:w w:val="90"/>
              </w:rPr>
              <w:t>Changes in accumulated other comprehensive loss by component, net of income taxes, consisted of the following:</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4"/>
              </w:rPr>
              <w:t>Three Months Ended September 30, 2021</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Cash Flow</w:t>
            </w:r>
          </w:p>
        </w:tc>
        <w:tc>
          <w:tcPr>
            <w:tcW w:w="1940" w:type="dxa"/>
            <w:vAlign w:val="bottom"/>
            <w:gridSpan w:val="3"/>
          </w:tcPr>
          <w:p>
            <w:pPr>
              <w:jc w:val="center"/>
              <w:ind w:right="360"/>
              <w:spacing w:after="0" w:line="169" w:lineRule="exact"/>
              <w:rPr>
                <w:sz w:val="20"/>
                <w:szCs w:val="20"/>
                <w:color w:val="auto"/>
              </w:rPr>
            </w:pPr>
            <w:r>
              <w:rPr>
                <w:rFonts w:ascii="Arial" w:cs="Arial" w:eastAsia="Arial" w:hAnsi="Arial"/>
                <w:sz w:val="18"/>
                <w:szCs w:val="18"/>
                <w:b w:val="1"/>
                <w:bCs w:val="1"/>
                <w:color w:val="auto"/>
                <w:w w:val="87"/>
              </w:rPr>
              <w:t>Foreign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940" w:type="dxa"/>
            <w:vAlign w:val="bottom"/>
            <w:gridSpan w:val="3"/>
          </w:tcPr>
          <w:p>
            <w:pPr>
              <w:jc w:val="center"/>
              <w:ind w:right="360"/>
              <w:spacing w:after="0" w:line="176" w:lineRule="exact"/>
              <w:rPr>
                <w:sz w:val="20"/>
                <w:szCs w:val="20"/>
                <w:color w:val="auto"/>
              </w:rPr>
            </w:pPr>
            <w:r>
              <w:rPr>
                <w:rFonts w:ascii="Arial" w:cs="Arial" w:eastAsia="Arial" w:hAnsi="Arial"/>
                <w:sz w:val="18"/>
                <w:szCs w:val="18"/>
                <w:b w:val="1"/>
                <w:bCs w:val="1"/>
                <w:color w:val="auto"/>
                <w:w w:val="93"/>
              </w:rPr>
              <w:t>Currency</w:t>
            </w:r>
          </w:p>
        </w:tc>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Pension Plans</w:t>
            </w:r>
          </w:p>
        </w:tc>
        <w:tc>
          <w:tcPr>
            <w:tcW w:w="15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68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6"/>
              </w:rPr>
              <w:t>Hedges</w:t>
            </w:r>
          </w:p>
        </w:tc>
        <w:tc>
          <w:tcPr>
            <w:tcW w:w="1940" w:type="dxa"/>
            <w:vAlign w:val="bottom"/>
            <w:gridSpan w:val="3"/>
          </w:tcPr>
          <w:p>
            <w:pPr>
              <w:jc w:val="center"/>
              <w:ind w:right="36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4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ind w:left="20"/>
        <w:spacing w:after="0"/>
        <w:tabs>
          <w:tab w:leader="none" w:pos="4620" w:val="left"/>
        </w:tabs>
        <w:rPr>
          <w:sz w:val="20"/>
          <w:szCs w:val="20"/>
          <w:color w:val="auto"/>
        </w:rPr>
      </w:pPr>
      <w:r>
        <w:rPr>
          <w:rFonts w:ascii="Arial" w:cs="Arial" w:eastAsia="Arial" w:hAnsi="Arial"/>
          <w:sz w:val="18"/>
          <w:szCs w:val="18"/>
          <w:color w:val="auto"/>
        </w:rPr>
        <w:t>Balance at June 30, 2021</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before reclassifications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(116)</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390"/>
              <w:spacing w:after="0"/>
              <w:rPr>
                <w:sz w:val="20"/>
                <w:szCs w:val="20"/>
                <w:color w:val="auto"/>
              </w:rPr>
            </w:pPr>
            <w:r>
              <w:rPr>
                <w:rFonts w:ascii="Arial" w:cs="Arial" w:eastAsia="Arial" w:hAnsi="Arial"/>
                <w:sz w:val="18"/>
                <w:szCs w:val="18"/>
                <w:color w:val="auto"/>
                <w:w w:val="93"/>
              </w:rPr>
              <w:t>(11)</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w:t>
            </w:r>
          </w:p>
        </w:tc>
        <w:tc>
          <w:tcPr>
            <w:tcW w:w="760" w:type="dxa"/>
            <w:vAlign w:val="bottom"/>
          </w:tcPr>
          <w:p>
            <w:pPr>
              <w:spacing w:after="0"/>
              <w:rPr>
                <w:sz w:val="20"/>
                <w:szCs w:val="20"/>
                <w:color w:val="auto"/>
              </w:rPr>
            </w:pP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311"/>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-196850</wp:posOffset>
            </wp:positionV>
            <wp:extent cx="713232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left="10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 2020</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87"/>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Arial" w:cs="Arial" w:eastAsia="Arial" w:hAnsi="Arial"/>
          <w:sz w:val="18"/>
          <w:szCs w:val="18"/>
          <w:color w:val="auto"/>
        </w:rPr>
        <w:t>Balance at June 30, 2020</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before reclassifications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(138)</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(6)</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3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31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-196850</wp:posOffset>
            </wp:positionV>
            <wp:extent cx="713232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6"/>
              </w:rPr>
              <w:t>Nine Months Ended September 30, 2021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87"/>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Arial" w:cs="Arial" w:eastAsia="Arial" w:hAnsi="Arial"/>
          <w:sz w:val="18"/>
          <w:szCs w:val="18"/>
          <w:color w:val="auto"/>
        </w:rPr>
        <w:t>Balance at December 31, 2020</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before reclassifications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(121)</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7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31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-196215</wp:posOffset>
            </wp:positionV>
            <wp:extent cx="713232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6"/>
              </w:rPr>
              <w:t>Nine Months Ended September 30, 2020</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87"/>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Arial" w:cs="Arial" w:eastAsia="Arial" w:hAnsi="Arial"/>
          <w:sz w:val="18"/>
          <w:szCs w:val="18"/>
          <w:color w:val="auto"/>
        </w:rPr>
        <w:t>Balance at December 31, 2019</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before reclassifications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(141)</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(6)</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(664)</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31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-196850</wp:posOffset>
            </wp:positionV>
            <wp:extent cx="7132320"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05"/>
        </w:trPr>
        <w:tc>
          <w:tcPr>
            <w:tcW w:w="4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entered into forward exchange contracts, which have been designated as cash flow hedges, to hedge foreign currency exposure to the Indian Rupee. The notional amount of these derivatives was $280 million and $259 million, and the fair value totaling $6 million and $9 million is reported primarily within prepaid expenses and other current assets in the consolidated balance sheets at September 30, 2021 and December 31, 2020, respectively. Based on the amounts recorded in accumulated other comprehensive loss at September 30, 2021, the Company estimates that it will recognize gains of approximately $5 million in cost of processing and services during the next twelve months as foreign exchange forward contracts settle.</w:t>
      </w:r>
    </w:p>
    <w:p>
      <w:pPr>
        <w:spacing w:after="0" w:line="10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had previously entered into treasury lock agreements (“Treasury Locks”), designated as cash flow hedges, in the aggregate notional amount of $5.0 billion to manage exposure to fluctuations in benchmark interest rates in anticipation of the issuance of fixed rate debt in connection with the acquisition and refinancing of certain indebtedness of First Data and its subsidiaries. In June 2019, concurrent with the issuance of U.S dollar-denominated senior notes, the Treasury Locks were settled resulting in a payment of $183 million recorded in accumulated other comprehensive loss, net of income taxes, that will be amortized to earnings over the terms of the originally forecasted interest payments. Based on the amounts recorded in accumulated other comprehensive loss at September 30, 2021, the Company estimates that it will recognize approximately $20 million in interest expense, net during the next twelve months related to settled interest rate hedge contracts.</w:t>
      </w:r>
    </w:p>
    <w:p>
      <w:pPr>
        <w:spacing w:after="0" w:line="1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To reduce exposure to changes in the value of the Company’s net investments in certain of its foreign currency-denominated subsidiaries due to changes in foreign currency exchange rates, the Company uses its foreign currency-denominated debt as an economic hedge of its net investments in such foreign currency-denominated subsidiaries. The Company has designated its Euro- and British Pound-denominated senior notes as net investment hedges to hedge a portion of its net investment in certain subsidiaries whose functional currencies are the Euro and the British Pound. Accordingly, 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subsidiaries. The Company recorded a foreign currency translation gain (loss), net of tax, of $71 million and $(92) million in other comprehensive income (loss) during the three months ended September 30, 2021 and 2020, respectively, and $77 million and $(38) million for the nine months ended September 30, 2021 and 2020, respectively, from the Euro- and British Pound-denominated senior notes.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recognized $63 million and $84 million of share-based compensation expense during the three months ended September 30, 2021 and 2020, respectively, and $190 million and $286 million of share-based compensation expense during the nine months ended September 30, 2021 and 2020, respectively. The Company’s annual grant of share-based awards generally occurs in the first quarter. Grants of share-based awards may also occur throughout the year in conjunction with acquisitions of businesses. At September 30, 2021, the total remaining unrecognized compensation cost for unvested stock options, restricted stock units and awards and performance share units, net of estimated forfeitures, of $321 million is expected to be recognized over a weighted-average period of 2.1 years. During the nine months ended September 30, 2021 and 2020, stock options to purchase 3.5 million and 2.2 million shares, respectively, were exercised.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Weighted-Average</w:t>
            </w: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4"/>
                <w:szCs w:val="14"/>
                <w:color w:val="auto"/>
              </w:rPr>
            </w:pPr>
          </w:p>
        </w:tc>
        <w:tc>
          <w:tcPr>
            <w:tcW w:w="146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w w:val="90"/>
              </w:rPr>
              <w:t>Aggregate Intrinsic</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Contractual Term</w:t>
            </w: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Exercise Price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6"/>
                <w:szCs w:val="16"/>
                <w:b w:val="1"/>
                <w:bCs w:val="1"/>
                <w:color w:val="auto"/>
                <w:w w:val="94"/>
              </w:rPr>
              <w:t>Value (In millions)</w:t>
            </w:r>
          </w:p>
        </w:tc>
        <w:tc>
          <w:tcPr>
            <w:tcW w:w="0" w:type="dxa"/>
            <w:vAlign w:val="bottom"/>
          </w:tcPr>
          <w:p>
            <w:pPr>
              <w:spacing w:after="0"/>
              <w:rPr>
                <w:sz w:val="1"/>
                <w:szCs w:val="1"/>
                <w:color w:val="auto"/>
              </w:rPr>
            </w:pP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110.41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 options exercisable - September 30, 2021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9,692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47.71</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680" w:type="dxa"/>
            <w:vAlign w:val="bottom"/>
          </w:tcPr>
          <w:p>
            <w:pPr>
              <w:spacing w:after="0"/>
              <w:rPr>
                <w:sz w:val="24"/>
                <w:szCs w:val="24"/>
                <w:color w:val="auto"/>
              </w:rPr>
            </w:pPr>
          </w:p>
        </w:tc>
        <w:tc>
          <w:tcPr>
            <w:tcW w:w="1560" w:type="dxa"/>
            <w:vAlign w:val="bottom"/>
          </w:tcPr>
          <w:p>
            <w:pPr>
              <w:jc w:val="right"/>
              <w:ind w:right="4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restricted stock award and performance share unit activity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3320" w:type="dxa"/>
            <w:vAlign w:val="bottom"/>
            <w:gridSpan w:val="5"/>
          </w:tcPr>
          <w:p>
            <w:pPr>
              <w:ind w:left="400"/>
              <w:spacing w:after="0"/>
              <w:rPr>
                <w:sz w:val="20"/>
                <w:szCs w:val="20"/>
                <w:color w:val="auto"/>
              </w:rPr>
            </w:pPr>
            <w:r>
              <w:rPr>
                <w:rFonts w:ascii="Arial" w:cs="Arial" w:eastAsia="Arial" w:hAnsi="Arial"/>
                <w:sz w:val="16"/>
                <w:szCs w:val="16"/>
                <w:b w:val="1"/>
                <w:bCs w:val="1"/>
                <w:color w:val="auto"/>
              </w:rPr>
              <w:t>Restricted Stock Units and Awards</w:t>
            </w:r>
          </w:p>
        </w:tc>
        <w:tc>
          <w:tcPr>
            <w:tcW w:w="324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Performance Share Units</w:t>
            </w:r>
          </w:p>
        </w:tc>
        <w:tc>
          <w:tcPr>
            <w:tcW w:w="0" w:type="dxa"/>
            <w:vAlign w:val="bottom"/>
          </w:tcPr>
          <w:p>
            <w:pPr>
              <w:spacing w:after="0"/>
              <w:rPr>
                <w:sz w:val="1"/>
                <w:szCs w:val="1"/>
                <w:color w:val="auto"/>
              </w:rPr>
            </w:pPr>
          </w:p>
        </w:tc>
      </w:tr>
      <w:tr>
        <w:trPr>
          <w:trHeight w:val="158"/>
        </w:trPr>
        <w:tc>
          <w:tcPr>
            <w:tcW w:w="4680" w:type="dxa"/>
            <w:vAlign w:val="bottom"/>
          </w:tcPr>
          <w:p>
            <w:pPr>
              <w:spacing w:after="0"/>
              <w:rPr>
                <w:sz w:val="13"/>
                <w:szCs w:val="13"/>
                <w:color w:val="auto"/>
              </w:rPr>
            </w:pPr>
          </w:p>
        </w:tc>
        <w:tc>
          <w:tcPr>
            <w:tcW w:w="16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3"/>
                <w:szCs w:val="13"/>
                <w:color w:val="auto"/>
              </w:rPr>
            </w:pPr>
          </w:p>
        </w:tc>
        <w:tc>
          <w:tcPr>
            <w:tcW w:w="16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44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104.92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and Other Charges</w:t>
      </w:r>
    </w:p>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July 2019 acquisition of First Data, the Company continues to implement integration plans focused on reducing the Company’s overall cost structure, including reducing vendor spend and eliminating duplicate costs. The Company recorded restructuring charges related to certain of these integration activities of $30 million and $41 million, primarily reported in cost of processing and services and selling, general and administrative expenses within the consolidated statements of income, based upon committed actions during the three months ended September 30, 2021 and 2020, respectively, and $58 million and $181 million during the nine months ended September 30, 2021 and 2020, respectively. The Company expects to complete the above integration activities associated with the First Data acquisition by the end of 2021 and does not expect the remaining restructuring and other charges to be material.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Termination Costs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recorded $27 million and $28 million of employee termination costs related to severance and other separation costs for terminated employees in connection with the acquisition of First Data during the three months ended September 30, 2021 and 2020, respectively, and $45 million and $105 million during the nine months ended September 30, 2021 and 2020, respectively. The following table summarizes the changes in the reserve related to the Company’s employee severance and other separation costs: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2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94"/>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89"/>
              </w:rPr>
              <w:t>27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Severance and other separation costs</w:t>
            </w:r>
          </w:p>
        </w:tc>
        <w:tc>
          <w:tcPr>
            <w:tcW w:w="460" w:type="dxa"/>
            <w:vAlign w:val="bottom"/>
          </w:tcPr>
          <w:p>
            <w:pPr>
              <w:spacing w:after="0"/>
              <w:rPr>
                <w:sz w:val="19"/>
                <w:szCs w:val="19"/>
                <w:color w:val="auto"/>
              </w:rPr>
            </w:pP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adjustments</w:t>
            </w: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left="10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Borders>
              <w:bottom w:val="single" w:sz="8" w:color="CCEEFF"/>
            </w:tcBorders>
          </w:tcPr>
          <w:p>
            <w:pPr>
              <w:spacing w:after="0"/>
              <w:rPr>
                <w:sz w:val="19"/>
                <w:szCs w:val="19"/>
                <w:color w:val="auto"/>
              </w:rPr>
            </w:pPr>
          </w:p>
        </w:tc>
        <w:tc>
          <w:tcPr>
            <w:tcW w:w="7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payments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3"/>
              </w:rPr>
              <w:t>(48)</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89"/>
              </w:rPr>
              <w:t>24</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employee severance and other separation costs accrual balance of $24 million at September 30, 2021 is expected to be paid within the next twelve months. In addition, the Company recorded share-based compensation costs of $2 million and $9 million during the three months ended September 30, 2021 and 2020, respectively, and $7 million and $32 million during the nine months ended September 30, 2021 and 2020, respectively, related to the accelerated vesting of equity awards for terminated employees.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Exit Costs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has identified certain leased facilities that have been or will be exited in the future as part of the Company’s efforts to reduce facility costs. During the first nine months of 2021 and 2020, the Company permanently vacated certain of these leased facilities in advance of the non-cancellable lease terms. In conjunction with the exit of these leased facilities, the Company assessed the respective operating lease ROU assets for impairment by comparing the carrying values of the ROU assets to the discounted cash flows from estimated sublease payments (Level 3 of the fair value hierarchy). In addition, the Company assessed certain property and equipment associated with the leased facilities for impairment. As a result, the Company recorded non-cash impairment charges of $1 million and $4 million, reported in selling, general and administrative expense within the consolidated statements of income during the three months ended September 30, 2021 and 2020, respectively, and $6 million and $44 million during the nine months ended September 30, 2021 and 2020, respectively, associated with the early exit of these leased facilities.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connection with initiatives to reduce the Company’s overall cost structure following the acquisition of First Data, the Company terminated certain of its existing lease agreements to upgrade and consolidate its computing infrastructure. The Company upgraded or replaced certain leased hardware under separate, new lease agreements, resulting in the early termination and disposal of existing hardware under the current lease agreements. As such, the Company adjusted the amortization period for these existing lease agreements to coincide with the modified remaining term. Finance lease expense during the three and nine months ended September 30, 2020 included $17 million and $62 million, respectively, of accelerated amortization associated with the termination of these vendor contracts. In addition, the Company executed similar terminations to certain of its existing software financing agreements. Amortization expense during the three and nine months ended September 30, 2020 included $18 million and $53 million, respectively, of accelerated amortization associated with the termination of these vendor contracts.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provision and effective income tax rate were as follows: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17"/>
                <w:szCs w:val="17"/>
                <w:color w:val="auto"/>
              </w:rPr>
            </w:pPr>
          </w:p>
        </w:tc>
        <w:tc>
          <w:tcPr>
            <w:tcW w:w="294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4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5"/>
                <w:szCs w:val="15"/>
                <w:color w:val="auto"/>
              </w:rPr>
            </w:pPr>
          </w:p>
        </w:tc>
        <w:tc>
          <w:tcPr>
            <w:tcW w:w="122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r>
      <w:tr>
        <w:trPr>
          <w:trHeight w:val="230"/>
        </w:trPr>
        <w:tc>
          <w:tcPr>
            <w:tcW w:w="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21.1 %</w:t>
            </w:r>
          </w:p>
        </w:tc>
      </w:tr>
    </w:tbl>
    <w:p>
      <w:pPr>
        <w:spacing w:after="0" w:line="28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income tax provision as a percentage of income before income taxes and income from investments in unconsolidated affiliates was 11.3% and 32.5% for the three months ended September 30, 2021 and 2020, respectively, and was 23.7% and 21.1% for the nine months ended September 30, 2021 and 2020, respectively.</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income tax rate for the three months ended September 30, 2021 includes discrete tax benefits from subsidiary restructurings and changes in uncertain tax positions. The effective income tax rate for the three months ended September 30, 2020 included $32 million of income tax expense related to the revaluation of certain net deferred tax liabilities as a result of an increase in the United Kingdom corporate income tax rate from 17% to 19% in the quarter.</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effective income tax rate for the nine months ended September 30, 2021 includes $134 million of income tax expense attributed to the revaluation of certain net deferred tax liabilities, primarily related to intangible assets and investments in joint ventures recognized at fair value in connection with the acquisition of First Data, reflecting the effect of enacted corporate income tax rate changes in the United Kingdom (tax rate increase from 19% to 25% starting in 2023) and Argentina (tax rate increase from 25% to 35%), partially offset by discrete tax benefits from subsidiary restructurings, changes in uncertain tax positions and equity compensation related tax benefits. The effective income tax rate for the nine months ended September 30, 2020 included $112 million of income tax expense associated with the $428 million gain on the sale of a 60% interest of the Company’s Investment Services business (see Note 4) and $32 million of income tax expense noted above, partially offset by changes in uncertain tax positions and equity compensation related tax benefits.</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potential liability for unrecognized tax benefits before interest and penalties was approximately $136 million at September 30, 2021. The Company believes it is reasonably possible that the liability for unrecognized tax benefits may decrease by up to $26 million over the next twelve months as a result of possible closure of federal tax audits, potential settlements with certain states, and the lapse of the statutes of limitation in various jurisdictions.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2021, the Company’s U.S. federal income tax return for 2020, and tax returns in certain states and foreign jurisdictions for 2005 through 2020, remain subject to examination by taxing authorities. State and local examinations are substantially complete through 2014 in relation to First Data’s state and local tax filings. Foreign jurisdictions generally remain subject to examination by their respective authorities from 2010 forward in relation to First Data’s foreign tax filings, none of which are considered significant jurisdictions.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share is as follows: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2200" w:type="dxa"/>
            <w:vAlign w:val="bottom"/>
            <w:gridSpan w:val="3"/>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8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3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2200" w:type="dxa"/>
            <w:vAlign w:val="bottom"/>
            <w:gridSpan w:val="3"/>
          </w:tcPr>
          <w:p>
            <w:pPr>
              <w:ind w:left="56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66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104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1040" w:type="dxa"/>
            <w:vAlign w:val="bottom"/>
            <w:tcBorders>
              <w:top w:val="single" w:sz="8" w:color="auto"/>
            </w:tcBorders>
          </w:tcPr>
          <w:p>
            <w:pPr>
              <w:ind w:left="34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15175"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0" w:hanging="161"/>
        <w:spacing w:after="0" w:line="226" w:lineRule="auto"/>
        <w:rPr>
          <w:sz w:val="20"/>
          <w:szCs w:val="20"/>
          <w:color w:val="auto"/>
        </w:rPr>
      </w:pPr>
      <w:r>
        <w:rPr>
          <w:rFonts w:ascii="Arial" w:cs="Arial" w:eastAsia="Arial" w:hAnsi="Arial"/>
          <w:sz w:val="18"/>
          <w:szCs w:val="18"/>
          <w:color w:val="auto"/>
        </w:rPr>
        <w:t>Weighted-average common shares outstanding used for the calculation of net income attributable to Fiserv, Inc. per share - basic</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line="3" w:lineRule="exact"/>
        <w:rPr>
          <w:sz w:val="20"/>
          <w:szCs w:val="20"/>
          <w:color w:val="auto"/>
        </w:rPr>
      </w:pPr>
    </w:p>
    <w:p>
      <w:pPr>
        <w:ind w:left="200" w:hanging="161"/>
        <w:spacing w:after="0" w:line="234" w:lineRule="auto"/>
        <w:rPr>
          <w:sz w:val="20"/>
          <w:szCs w:val="20"/>
          <w:color w:val="auto"/>
        </w:rPr>
      </w:pPr>
      <w:r>
        <w:rPr>
          <w:rFonts w:ascii="Arial" w:cs="Arial" w:eastAsia="Arial" w:hAnsi="Arial"/>
          <w:sz w:val="18"/>
          <w:szCs w:val="18"/>
          <w:color w:val="auto"/>
        </w:rPr>
        <w:t>Weighted-average common shares outstanding used for the calculation of net income attributable to Fiserv, Inc. per share - diluted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40" w:type="dxa"/>
            <w:vAlign w:val="bottom"/>
          </w:tcPr>
          <w:p>
            <w:pPr>
              <w:jc w:val="right"/>
              <w:spacing w:after="0"/>
              <w:rPr>
                <w:sz w:val="20"/>
                <w:szCs w:val="20"/>
                <w:color w:val="auto"/>
              </w:rPr>
            </w:pPr>
            <w:r>
              <w:rPr>
                <w:rFonts w:ascii="Arial" w:cs="Arial" w:eastAsia="Arial" w:hAnsi="Arial"/>
                <w:sz w:val="18"/>
                <w:szCs w:val="18"/>
                <w:color w:val="auto"/>
              </w:rPr>
              <w:t>661.4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672.6</w:t>
            </w:r>
          </w:p>
        </w:tc>
      </w:tr>
      <w:tr>
        <w:trPr>
          <w:trHeight w:val="230"/>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358"/>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674.1</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60" w:space="540"/>
            <w:col w:w="4540"/>
          </w:cols>
          <w:pgMar w:left="320" w:top="125" w:right="339" w:bottom="1440" w:gutter="0" w:footer="0" w:header="0"/>
          <w:type w:val="continuous"/>
        </w:sectPr>
      </w:pPr>
    </w:p>
    <w:p>
      <w:pPr>
        <w:spacing w:after="0" w:line="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the three months ended September 30, 2021 and 2020, stock options for 1.6 million and 2.6 million shares, respectively, were excluded from the calculation of weighted-average outstanding shares - diluted because their impact was anti-dilutive. For the nine months ended September 30, 2021 and 2020, stock options for 1.5 million and 2.0 million shares, respectively, were excluded from the calculation of weighted-average outstanding shares - diluted because their impact was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1"/>
              </w:rPr>
              <w:t>Nine Months Ended</w:t>
            </w:r>
          </w:p>
        </w:tc>
        <w:tc>
          <w:tcPr>
            <w:tcW w:w="12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of nonmonetary assets (see Notes 4 and 10)</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Software obtained under financing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 - operating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liabilities - finance leases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normal course of business, the Company or its subsidiaries are named as defendants in lawsuits in which claims are asserted against the Company. In addition, the Company assumed certain legal proceedings in connection with the acquisition of First Data primarily associated with its merchant acquiring business and a tax matter. In the third quarter of 2021, the Company resolved a matter, for which the Company had previously accrued, with a class of merchants related to alleged violations by an independent sales organization resulting in a payment of $28 million. In the second quarter of 2020, the Company resolved a matter with the Federal Trade Commission related to a U.S.-based wholesale independent sales organization resulting in a payment of $40 million, for which the Company previously had accrued. The Company maintained reserves of $15 million and $32 million at September 30, 2021 and December 31, 2020, respectively, related to its various legal proceedings, primarily associated with the Company’s merchant acquiring business as described above. The Company’s estimate of the possible range of exposure for various litigation matters in excess of amounts accrued is $0 million to approximately $65 million. In the opinion of management, the liabilities, if any, which may ultimately result from such lawsuits are not expected to have a material adverse effect on the Company’s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connection with the Company’s processing of electronic payments transactions, funds received from subscribers are invested from the time the Company collects the funds until payments are made to the applicable recipients. These subscriber funds are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invested in short-term, highly liquid investments. Subscriber funds, which are not included in the Company’s consolidated balance sheets, can fluctuate significantly based on consumer bill payment and debit card activity and totaled approximately $1.0 billion and $1.7 billion at September 30, 2021 and December 31,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The Company maintains ownership interests of significant influence in various merchant alliances and strategic investments in companies in related markets.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primarily based on contractual pricing.</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significant portion of the Company’s business is conducted through merchant alliances between the Company and financial institutions. 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 the Company uses the equity method of accounting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$42 million and $47 million for the three months ended September 30, 2021 and 2020, respectively, and $132 million and $134 million for the nine months ended September 30, 2021 and 2020, respectively. No directors or officers of the Company have ownership interests in any of the alliances. The formation of each of these alliances generally involves the Company and the financial institution contributing contractual merchant relationships to the alliance and a cash payment from one owner to the other to achieve the desired ownership percentage for each. The Company and the financial institution enter into a long-term processing service agreement as part of the negotiation process. This agreement governs the Company’s provision of transaction processing services to the alliance. The Company had $38 million and $37 million of amounts due from unconsolidated merchant alliances included within trade accounts receivable, net in the consolidated balance sheets at September 30, 2021 and December 31, 2020,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Transition Services Agreements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including with InvestCloud through June 30, 2021, totaled $6 million and $16 million during the three months ended September 30, 2021 and 2020, respectively, and $32 million and $43 million during the nine months ended September 30, 2021 and 2020, respectively, and were primarily recognized as processing and services revenue in the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3, 2021, New Omaha Holdings L.P. (“New Omaha”), a shareholder of the Company, completed an underwritten secondary public offering of 23.0 million shares of Fiserv, Inc. common stock (the “offering”). The Company did not sell any shares in, nor did it receive any proceeds from, the offering. New Omaha received all of the net proceeds from the offering. In connection with the offering, the Company repurchased from the underwriters 5.0 million shares of its common stock that were subject to the offering, at a price equal to the price per share paid by the underwriters to New Omaha in the offering (the “share repurchase”). The share repurchase totaled $588 million and was funded with cash on hand. The repurchased shares were cancelled and no longer outstanding following the completion of the share repurchase. Prior to the offering, New Omaha owned approximately 13% of the Company’s outstanding shares of common stock, and immediately following the offering, New Omaha owned approximately 9% of such outstanding shares.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comprised of the Acceptance segment, the Fintech segment and the Payments segment.</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businesses in the Acceptance segment provide a wide range of commerce-enabling solutions and serve merchants of all sizes around the world. These services include point-of-sale merchant acquiring and digital commerce services; mobile payment services; security and fraud protection products; Carat</w:t>
      </w:r>
      <w:r>
        <w:rPr>
          <w:rFonts w:ascii="Arial" w:cs="Arial" w:eastAsia="Arial" w:hAnsi="Arial"/>
          <w:sz w:val="23"/>
          <w:szCs w:val="23"/>
          <w:color w:val="auto"/>
          <w:vertAlign w:val="superscript"/>
        </w:rPr>
        <w:t>SM</w:t>
      </w:r>
      <w:r>
        <w:rPr>
          <w:rFonts w:ascii="Arial" w:cs="Arial" w:eastAsia="Arial" w:hAnsi="Arial"/>
          <w:sz w:val="18"/>
          <w:szCs w:val="18"/>
          <w:color w:val="auto"/>
        </w:rPr>
        <w:t>, the Company’s omnichannel commerce solution; and the Company’s cloud-based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point-of-sale platform.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4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global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including merchants, distribution partners and financial institution customers in the Company’s other segments.</w:t>
      </w:r>
    </w:p>
    <w:p>
      <w:pPr>
        <w:spacing w:after="0" w:line="12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or investments, costs associated with acquisition and divestiture activity, and the Company’s Output Solutions postage reimbursements. Corporate and Other also includes the historical results of the Company’s Investment Services business prior to the Company’s disposal of its controlling financial interest in February 2020 (see Note 4), as well as certain transition services revenue associated with various dispositions.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(loss)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and Other</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Three Months Ended September 30, 2021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1,458</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Three Months Ended September 30,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42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(745)</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Nine Months Ended September 30, 2021</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4,079</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Nine Months Ended September 30,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42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985</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27</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16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3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forward-looking statements in this report involve significant risks and uncertainties, and a number of factors, both foreseen and unforeseen, that could cause actual results to differ materially from our current expectations. The factors that may affect our results include, among others, the following, many of which are, and may continue to be, amplified by the COVID-19 pandemic: the duration and intensity of the COVID-19 pandemic, including how quickly the global economy recovers from the impact of the pandemic; governmental and private sector responses to the COVID-19 pandemic and the impact of such responses on us; the impact of the COVID-19 pandemic on our employees, clients, vendors, supply chain, operations and sales; the possibility that we may be unable to achieve expected synergies and operating efficiencies from the acquisition of First Data Corporation (“First Data”) within the expected time frames or that the integration of First Data may be more difficult, time-consuming or costly than expected;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successful management of our merchant alliance program which involves several alliances not under our sole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included in "Risk Factors” in our Annual Report on Form 10-K for the year ended December 31, 2020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34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30" w:lineRule="exact"/>
        <w:rPr>
          <w:sz w:val="20"/>
          <w:szCs w:val="20"/>
          <w:color w:val="auto"/>
        </w:rPr>
      </w:pPr>
    </w:p>
    <w:p>
      <w:pPr>
        <w:ind w:left="660" w:right="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and the trends affecting our industry in order to provide context for management’s discussion and analysis of our financial condition and results of operations.</w:t>
      </w:r>
    </w:p>
    <w:p>
      <w:pPr>
        <w:spacing w:after="0" w:line="12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Changes in critical accounting policies and estimates. </w:t>
      </w:r>
      <w:r>
        <w:rPr>
          <w:rFonts w:ascii="Arial" w:cs="Arial" w:eastAsia="Arial" w:hAnsi="Arial"/>
          <w:sz w:val="18"/>
          <w:szCs w:val="18"/>
          <w:color w:val="auto"/>
        </w:rPr>
        <w:t>This section contains a discussion of changes since our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 in the accounting policies that we believe are important to our financial condition and results of operations and that require judgment and estimates on the part of management in their application.</w:t>
      </w:r>
    </w:p>
    <w:p>
      <w:pPr>
        <w:spacing w:after="0" w:line="129" w:lineRule="exact"/>
        <w:rPr>
          <w:rFonts w:ascii="Arial" w:cs="Arial" w:eastAsia="Arial" w:hAnsi="Arial"/>
          <w:sz w:val="18"/>
          <w:szCs w:val="18"/>
          <w:color w:val="auto"/>
        </w:rPr>
      </w:pPr>
    </w:p>
    <w:p>
      <w:pPr>
        <w:ind w:left="660" w:right="52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This section contains an analysis of our results of operations presented in the accompanying unaudited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income by comparing the results for the three and nine months ended September 30, 2021 to the comparable periods in 2020.</w:t>
      </w:r>
    </w:p>
    <w:p>
      <w:pPr>
        <w:spacing w:after="0" w:line="69" w:lineRule="exact"/>
        <w:rPr>
          <w:rFonts w:ascii="Arial" w:cs="Arial" w:eastAsia="Arial" w:hAnsi="Arial"/>
          <w:sz w:val="16"/>
          <w:szCs w:val="16"/>
          <w:color w:val="auto"/>
        </w:rPr>
      </w:pPr>
    </w:p>
    <w:p>
      <w:pPr>
        <w:ind w:left="660" w:right="3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cash flows and a discussion of our outstanding debt at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We are a leading global provider of payments and financial services technology solutions. We provide account processing and digital banking solutions; card issuer processing and network services; payments; e-commerce; merchant acquiring and processing; and the Clover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cloud-based point-of-sale (“POS”) solution. We serve clients around the globe, including banks, credit unions, other financial institutions, corporate clients and merchants.</w:t>
      </w:r>
    </w:p>
    <w:p>
      <w:pPr>
        <w:spacing w:after="0" w:line="1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aspire to move money and information in a way that moves the world by delivering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operations are comprised of the Merchant Acceptance (“Acceptance”) segment, the Financial Technology (“Fintech”) segment and the Payments and Network (“Payments”) segment.</w:t>
      </w:r>
    </w:p>
    <w:p>
      <w:pPr>
        <w:spacing w:after="0" w:line="116"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businesses in our Acceptance segment provide a wide range of commerce-enabling solutions and serve merchants of all sizes around the world. These services include POS merchant acquiring and digital commerce services; mobile payment services; security and fraud protection products; Carat</w:t>
      </w:r>
      <w:r>
        <w:rPr>
          <w:rFonts w:ascii="Arial" w:cs="Arial" w:eastAsia="Arial" w:hAnsi="Arial"/>
          <w:sz w:val="20"/>
          <w:szCs w:val="20"/>
          <w:color w:val="auto"/>
          <w:vertAlign w:val="superscript"/>
        </w:rPr>
        <w:t>SM</w:t>
      </w:r>
      <w:r>
        <w:rPr>
          <w:rFonts w:ascii="Arial" w:cs="Arial" w:eastAsia="Arial" w:hAnsi="Arial"/>
          <w:sz w:val="16"/>
          <w:szCs w:val="16"/>
          <w:color w:val="auto"/>
        </w:rPr>
        <w:t>, our omnichannel commerce solution; and our cloud-based Clover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POS platform. We distribute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2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global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including merchants, distribution partners and financial institution customers in our other segments.</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or investments, costs associated with acquisition and divestiture activity, and our Output Solutions postage reimbursements. Corporate and Other also includes the historical results of our Investment Services business prior to the disposition of our controlling financial interest in February 2020, as well as certain transition services revenue associated with various dispositions.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frequently review our portfolio to ensure we have the right set of businesses to execute on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June 14, 2021, we acquired Spend Labs Inc. (“SpendLabs”), a mobile-native, cloud-based software provider of commercial card payment solutions. SpendLabs is included within the Payments segment and further expands our digital capabilities across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mobile and desktop devices for small and mid-sized businesses. On May 4, 2021, we acquired Pineapple Payments Holdings, LLC (“Pineapple Payments”), an independent sales organization that provides payment processing, proprietary technology, and payment acceptance solutions for merchants. Pineapple Payments is included within the Acceptance segment, and expands the reach of our payment solutions through its technology- and relationship-led distribution channels. On March 1, 2021, we acquired Radius8, Inc. (“Radius8”), a provider of a platform that uses consumer location and other information to drive incremental merchant transactions. Radius8 is included within the Acceptance segment and enhances our ability to help merchants increase sales, expand mobile application registration and improve one-to-one target marketing. On January 22, 2021, we acquired a remaining ownership interest in Ondot Systems, Inc. (“Ondot”), a digital experience platform provider for financial institutions. We previously held a noncontrolling equity interest in Ondot, which was accounted for at cost. Ondot is included within the Payments segment and further expands our digital capabilities, enhancing our suite of integrated payments, banking and merchant solutions. We acquired these businesses for an aggregate purchase price of approximately</w:t>
      </w:r>
    </w:p>
    <w:p>
      <w:pPr>
        <w:spacing w:after="0" w:line="6"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$524 million, net of $19 million of acquired cash, and including earn-out provisions estimated at an aggregate fair value of $30 million. The results of operations for these acquired businesses are included in our consolidated results from the respective dates of acquisition.</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March 2, 2020, we acquired MerchantPro Express LLC (“MerchantPro”), an independent sales organization that provides processing services, point-of-sale equipment and merchant cash advances to businesses across the United States. MerchantPro is included within the Acceptance segment and further expands our merchant services business. On March 18, 2020, we acquired Bypass Mobile, LLC (“Bypass”), an independent software vendor and innovator in enterprise point-of-sale systems for sports and entertainment venues, food service management providers and national restaurant chains. Bypass is included within the Acceptance segment and further enhances our ability to help businesses deliver seamless physical and digital customer experiences. On May 11, 2020, we acquired Inlet, LLC (“Inlet”), a provider of secure digital delivery solutions for enterprise and middle-market biller invoices and statements. Inlet is included within the Payments segment and further enhances our digital bill payment strategy. We acquired these businesses for an aggregate purchase price of $167 million, net of $2 million of acquired cash, and including earn-out provisions estimated at an aggregate fair value of $45 million. The results of operations for these acquired businesses are included in our consolidated results from the respective dates of acquisition.</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October 18, 2021, we entered into a definitive agreement to acquire BentoBox CMS, Inc. (“BentoBox”), a digital marketing and commerce platform that helps restaurants connect with their guests and that will expand our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dining solutions and commerce and business management capabilities. We expect the acquisition to close in the fourth quarter of 2021, subject to customary approvals and closing conditions. Upon closing of the acquisition, BentoBox will be included within the Acceptance segment.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July 1, 2020, we and Bank of America (“BANA”) dissolved the Banc of America Merchant Services joint venture (“BAMS” or the “joint venture”), of which we maintained a 51% controlling ownership interest. Upon dissolution of the joint venture’s operations, the joint venture transferred a proportionate share of value, primarily the client contracts, to each party via an agreed upon contractual separation. The transfer of value to BANA was accounted for at fair value, resulting in the recognition of a pre-tax gain of $36 million, with a related tax expense of $13 million. The remaining activities of the joint venture consist of supporting the transition of the business to each party and an orderly wind down of remaining BAMS assets and liabilities. The revenues and expenses of the BAMS joint venture were consolidated into our financial results through the date of dissolution. The business transferred to us is included within our Acceptance segment.</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continue to provide merchant processing and related services to former BAMS clients allocated to BANA, at BAMS pricing, through June 2023. We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18, 2020, we sold a 60% controlling interest of our Investment Services business, subsequently renamed as Tegra118, LLC (“Tegra118”). We received pre-tax proceeds of $578 million, net of related expenses, resulting in a pre-tax gain on the sale of $428 million, with a related tax expense of $112 million. The revenues, expenses and cash flows of the Investment Services business were consolidated into our financial results through the date of the sale transaction, and is reported within Corporate and Other. On February 2, 2021, Tegra118 completed a merger with a third party, resulting in a dilution of our ownership interest in the combined new entity, Wealthtech Holdings, LLC, which was subsequently renamed as InvestCloud Holdings, LLC (“InvestCloud”). In connection with the transaction, we made an additional capital contribution of $200 million into the combined entity and recognized a pre-tax gain of $28 million, with a related tax expense of $6 million. On June 30, 2021, we sold our entire ownership interest in InvestCloud for $466 million, resulting in a pre-tax gain of $33 million, with a related tax expense of $8 million. We will continue to provide various technical and data center related services for defined periods under the terms of a pre-existing transition services agreement.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 expectations, payments companies are focused on modernizing their technology, expanding the use of data and enhancing the customer experience.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Merchants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rapid growth in and globalization of mobile and e-commerce, driven by consumers’ desire for simpler, more efficient shopping experiences, has created an opportunity for merchants to reach consumers in high-growth online and mobile settings, which often requires a merchant acquiring provider to enable and optimize the acceptance of payments. Merchants are demanding simpler,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source of new merchant acquisition opportunities, especially with respect to smaller merchants.</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there are numerous software-as-a-service (“SaaS”) solutions in the industry, many of which have chosen to integrate merchant acquiring within their software as a way to further monetize their client relationships. SaaS solutions that integrate payments are often referred to as independent software vendors, and we believe there are thousands of these potential distribution partnership opportunities available to us.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small, medium and large financial institutions, and non-financial institutions, gives us a solid foundation for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Institutions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market for products and services offered by financial institutions continues to evolve rapidly. The traditional financial industry and other market entrants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the trends described above, the financial institutions marketplace has experienced change in composition as well. The number of financial institutions in the United States continues to decline, primarily as a result of voluntary mergers and acquisitions. Rather than reducing the overall market, these consolidations transfer accounts among financial institutions. If a client loss occurs due to merger or acquisition, we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Market Conditions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early 2020, the world has been, and continues to be, impacted by the novel strain of the coronavirus (“COVID-19”) pandemic. The COVID-19 pandemic, and various measures imposed by the governments of many countries, states, cities and other geographic regions to prevent its spread, have negatively impacted global economic and market conditions, including levels of consumer and business spending. Consequently, our operating performance, primarily within our merchant acquiring and payment-related businesses, which earn transaction-based fees, has been adversely affected, and may continue to be adversely affected, by the economic impact of the COVID-19 pandemic. Such uncertainty remains despite improving trends in global economic activity and market conditions.</w:t>
      </w:r>
    </w:p>
    <w:p>
      <w:pPr>
        <w:spacing w:after="0" w:line="13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taken several actions since the onset of the pandemic to protect the health, safety and well-being of our employees while maintaining business continuity. These actions include, among others, eliminating non-essential travel, limiting visitors to our facilities, disinfecting facilities and workspaces extensively and frequently, providing onsite COVID-19 testing and personal protective equipment to associates and requiring employees who are present at our facilities to adhere to a variety of safety protocols. In addition, we have expanded paid time-off for employees impacted by COVID-19, provided increased pay for certain employees involved in critical infrastructure, and expanded our Fiserv Cares program to benefit employees in need around the world. We have reopened our offices in the United States and certain other geographies during the third quarter of 2021 and expect to continue to reopen our facilities in remaining locations while observing appropriate safety measures.</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operating performance is subject to global economic and market conditions, as well as their impacts on levels of consumer and business spending. As a result of the COVID-19 pandemic and the related decline in global economic activity, we experienced a significant decrease in payments volume and transactions beginning in late March 2020 that negatively impacted our merchant acquiring and payment-related businesses, which earn transaction-based fees, as well as modest declines in other businesses. Merchant acquiring transaction and payment volumes began to partially recover throughout the remainder of 2020 and have continued to grow through the third quarter of 2021. Accordingly, our merchant acquiring and payment-related businesses were less impacted by the COVID-19 pandemic during the first nine months of 2021 than they were throughout most of fiscal 2020. While this current business trend is positive, the uncertainty caused by the pandemic continues to create an economic environment where our future financial results remain difficult to anticipate. We currently expect payments volume and transactions to continue to improve throughout the remainder of 2021, consistent with consumer and business spending experienced to date.</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extent of the impact of the pandemic on our future operational and financial performance will depend on, among other matters, the duration and intensity of the pandemic; governmental and private sector responses to the pandemic and the impact of such responses on us; the level of success of global vaccination efforts; and the impact of the pandemic on our employees, clients, vendors, supply chain, operations and sales, all of which are uncertain and cannot be predicted.</w:t>
      </w:r>
    </w:p>
    <w:p>
      <w:pPr>
        <w:spacing w:after="0" w:line="13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2021, we began observing increasing shortages and delays in the global supply chain for components and inputs necessary to our businesses, such as semiconductors, paper and plastic, and may experience difficulty procuring those components and inputs in the future on a timely basis or at historical prices.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Critical Accounting Policies and Estimates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2020,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There have been no material changes to our critical accounting policies and estimates from those disclosed in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with the unaudited consolidated financial statements and accompanying notes. The unaudited financial results presented below have been affected by acquisitions, dispositions, and foreign currency fluctuations.</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Following the acquisition of First Data, we have continued to implement our post-merger integration plans to achieve synergies and future expected economic benefits, including enhanced revenue growth from expanded capabilities and geographic presence as well as substantial cost savings from the elimination of duplicative overhead and enhanced operational efficiency. We expect to complete the integration activities associated with the achievement of cost synergies related to the First Data acquisition by the end of 2021 and therefore expect a reduction in the amount of acquisition and integration related expenses thereafter.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w w:val="92"/>
              </w:rPr>
              <w:t>Three Months Ended September 30,</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6"/>
              </w:rPr>
              <w:t>Percentage of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left="692"/>
              <w:spacing w:after="0" w:line="217" w:lineRule="exact"/>
              <w:rPr>
                <w:sz w:val="20"/>
                <w:szCs w:val="20"/>
                <w:color w:val="auto"/>
              </w:rPr>
            </w:pPr>
            <w:r>
              <w:rPr>
                <w:rFonts w:ascii="Arial" w:cs="Arial" w:eastAsia="Arial" w:hAnsi="Arial"/>
                <w:sz w:val="16"/>
                <w:szCs w:val="16"/>
                <w:b w:val="1"/>
                <w:bCs w:val="1"/>
                <w:color w:val="auto"/>
                <w:w w:val="86"/>
              </w:rPr>
              <w:t xml:space="preserve">Revenue </w:t>
            </w:r>
            <w:r>
              <w:rPr>
                <w:rFonts w:ascii="Arial" w:cs="Arial" w:eastAsia="Arial" w:hAnsi="Arial"/>
                <w:sz w:val="21"/>
                <w:szCs w:val="21"/>
                <w:b w:val="1"/>
                <w:bCs w:val="1"/>
                <w:color w:val="auto"/>
                <w:w w:val="86"/>
                <w:vertAlign w:val="superscript"/>
              </w:rPr>
              <w:t>(1)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3"/>
            <w:vMerge w:val="restart"/>
          </w:tcPr>
          <w:p>
            <w:pPr>
              <w:jc w:val="right"/>
              <w:ind w:right="39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80" w:type="dxa"/>
            <w:vAlign w:val="bottom"/>
          </w:tcPr>
          <w:p>
            <w:pPr>
              <w:jc w:val="right"/>
              <w:ind w:right="250"/>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0"/>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140" w:type="dxa"/>
            <w:vAlign w:val="bottom"/>
          </w:tcPr>
          <w:p>
            <w:pPr>
              <w:jc w:val="right"/>
              <w:ind w:right="33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10"/>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371"/>
              <w:spacing w:after="0" w:line="175"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7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83.3 %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Gain on sale of businesses</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Income before income taxes and income from</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from investments in unconsolidated affiliates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180" w:hanging="328"/>
        <w:spacing w:after="0" w:line="223" w:lineRule="auto"/>
        <w:tabs>
          <w:tab w:leader="none" w:pos="64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w w:val="91"/>
              </w:rPr>
              <w:t>Nine Months Ended September 30,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6"/>
              </w:rPr>
              <w:t>Percentage of</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bottom w:val="single" w:sz="8" w:color="auto"/>
            </w:tcBorders>
            <w:gridSpan w:val="3"/>
          </w:tcPr>
          <w:p>
            <w:pPr>
              <w:jc w:val="center"/>
              <w:ind w:left="692"/>
              <w:spacing w:after="0" w:line="227" w:lineRule="exact"/>
              <w:rPr>
                <w:sz w:val="20"/>
                <w:szCs w:val="20"/>
                <w:color w:val="auto"/>
              </w:rPr>
            </w:pPr>
            <w:r>
              <w:rPr>
                <w:rFonts w:ascii="Arial" w:cs="Arial" w:eastAsia="Arial" w:hAnsi="Arial"/>
                <w:sz w:val="16"/>
                <w:szCs w:val="16"/>
                <w:b w:val="1"/>
                <w:bCs w:val="1"/>
                <w:color w:val="auto"/>
                <w:w w:val="86"/>
              </w:rPr>
              <w:t xml:space="preserve">Revenue </w:t>
            </w:r>
            <w:r>
              <w:rPr>
                <w:rFonts w:ascii="Arial" w:cs="Arial" w:eastAsia="Arial" w:hAnsi="Arial"/>
                <w:sz w:val="21"/>
                <w:szCs w:val="21"/>
                <w:b w:val="1"/>
                <w:bCs w:val="1"/>
                <w:color w:val="auto"/>
                <w:w w:val="86"/>
                <w:vertAlign w:val="superscript"/>
              </w:rPr>
              <w:t>(1)</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780" w:type="dxa"/>
            <w:vAlign w:val="bottom"/>
          </w:tcPr>
          <w:p>
            <w:pPr>
              <w:jc w:val="right"/>
              <w:ind w:right="250"/>
              <w:spacing w:after="0" w:line="169"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0"/>
              <w:spacing w:after="0" w:line="169"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1140" w:type="dxa"/>
            <w:vAlign w:val="bottom"/>
          </w:tcPr>
          <w:p>
            <w:pPr>
              <w:jc w:val="right"/>
              <w:ind w:right="332"/>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10"/>
              <w:spacing w:after="0" w:line="169"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71"/>
              <w:spacing w:after="0" w:line="169"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160" w:type="dxa"/>
            <w:vAlign w:val="bottom"/>
          </w:tcPr>
          <w:p>
            <w:pPr>
              <w:jc w:val="right"/>
              <w:ind w:right="410"/>
              <w:spacing w:after="0" w:line="169"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9,822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9,118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82.7 %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Gain on sale of businesses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Income before income taxes and income from</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from 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Less: net income attributable to noncontrolling interests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180" w:hanging="328"/>
        <w:spacing w:after="0" w:line="223"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1"/>
              </w:rPr>
              <w:t>Three Months Ended September 30,</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vMerge w:val="restart"/>
          </w:tcPr>
          <w:p>
            <w:pPr>
              <w:jc w:val="center"/>
              <w:ind w:right="360"/>
              <w:spacing w:after="0"/>
              <w:rPr>
                <w:sz w:val="20"/>
                <w:szCs w:val="20"/>
                <w:color w:val="auto"/>
              </w:rPr>
            </w:pPr>
            <w:r>
              <w:rPr>
                <w:rFonts w:ascii="Arial" w:cs="Arial" w:eastAsia="Arial" w:hAnsi="Arial"/>
                <w:sz w:val="16"/>
                <w:szCs w:val="16"/>
                <w:b w:val="1"/>
                <w:bCs w:val="1"/>
                <w:color w:val="auto"/>
                <w:w w:val="89"/>
              </w:rPr>
              <w:t>Acceptance</w:t>
            </w:r>
          </w:p>
        </w:tc>
        <w:tc>
          <w:tcPr>
            <w:tcW w:w="300" w:type="dxa"/>
            <w:vAlign w:val="bottom"/>
          </w:tcPr>
          <w:p>
            <w:pPr>
              <w:spacing w:after="0"/>
              <w:rPr>
                <w:sz w:val="13"/>
                <w:szCs w:val="13"/>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rPr>
              <w:t>Fintech</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Payments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Corporate</w:t>
            </w:r>
          </w:p>
        </w:tc>
        <w:tc>
          <w:tcPr>
            <w:tcW w:w="30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and Other</w:t>
            </w:r>
          </w:p>
        </w:tc>
        <w:tc>
          <w:tcPr>
            <w:tcW w:w="3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1,716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761</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1,471</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4,163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1,454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727</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1,387</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3,786</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ind w:left="340"/>
              <w:spacing w:after="0"/>
              <w:rPr>
                <w:sz w:val="20"/>
                <w:szCs w:val="20"/>
                <w:color w:val="auto"/>
              </w:rPr>
            </w:pPr>
            <w:r>
              <w:rPr>
                <w:rFonts w:ascii="Arial" w:cs="Arial" w:eastAsia="Arial" w:hAnsi="Arial"/>
                <w:sz w:val="18"/>
                <w:szCs w:val="18"/>
                <w:color w:val="auto"/>
              </w:rPr>
              <w:t>Revenue growth</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262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34</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84</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377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275</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643</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636</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265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599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542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94</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3"/>
          </w:tcPr>
          <w:p>
            <w:pPr>
              <w:ind w:left="340"/>
              <w:spacing w:after="0" w:line="176" w:lineRule="exact"/>
              <w:rPr>
                <w:sz w:val="20"/>
                <w:szCs w:val="20"/>
                <w:color w:val="auto"/>
              </w:rPr>
            </w:pPr>
            <w:r>
              <w:rPr>
                <w:rFonts w:ascii="Arial" w:cs="Arial" w:eastAsia="Arial" w:hAnsi="Arial"/>
                <w:sz w:val="18"/>
                <w:szCs w:val="18"/>
                <w:color w:val="auto"/>
              </w:rPr>
              <w:t>Operating income growth</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30 %</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ind w:left="500"/>
              <w:spacing w:after="0"/>
              <w:rPr>
                <w:sz w:val="20"/>
                <w:szCs w:val="20"/>
                <w:color w:val="auto"/>
              </w:rPr>
            </w:pPr>
            <w:r>
              <w:rPr>
                <w:rFonts w:ascii="Arial" w:cs="Arial" w:eastAsia="Arial" w:hAnsi="Arial"/>
                <w:sz w:val="18"/>
                <w:szCs w:val="18"/>
                <w:color w:val="auto"/>
              </w:rPr>
              <w:t>percentage</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32.2 %</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60" w:type="dxa"/>
            <w:vAlign w:val="bottom"/>
            <w:gridSpan w:val="3"/>
          </w:tcPr>
          <w:p>
            <w:pPr>
              <w:ind w:left="38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310</w:t>
            </w: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bps</w:t>
            </w:r>
          </w:p>
        </w:tc>
        <w:tc>
          <w:tcPr>
            <w:tcW w:w="300" w:type="dxa"/>
            <w:vAlign w:val="bottom"/>
          </w:tcPr>
          <w:p>
            <w:pPr>
              <w:spacing w:after="0"/>
              <w:rPr>
                <w:sz w:val="24"/>
                <w:szCs w:val="24"/>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bps</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840" w:type="dxa"/>
            <w:vAlign w:val="bottom"/>
            <w:gridSpan w:val="3"/>
          </w:tcPr>
          <w:p>
            <w:pPr>
              <w:jc w:val="right"/>
              <w:ind w:right="580"/>
              <w:spacing w:after="0"/>
              <w:rPr>
                <w:sz w:val="20"/>
                <w:szCs w:val="20"/>
                <w:color w:val="auto"/>
              </w:rPr>
            </w:pPr>
            <w:r>
              <w:rPr>
                <w:rFonts w:ascii="Arial" w:cs="Arial" w:eastAsia="Arial" w:hAnsi="Arial"/>
                <w:sz w:val="18"/>
                <w:szCs w:val="18"/>
                <w:color w:val="auto"/>
                <w:w w:val="82"/>
              </w:rPr>
              <w:t>bps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100</w:t>
            </w:r>
          </w:p>
        </w:tc>
        <w:tc>
          <w:tcPr>
            <w:tcW w:w="420" w:type="dxa"/>
            <w:vAlign w:val="bottom"/>
          </w:tcPr>
          <w:p>
            <w:pPr>
              <w:ind w:left="20"/>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6"/>
                <w:szCs w:val="16"/>
                <w:b w:val="1"/>
                <w:bCs w:val="1"/>
                <w:color w:val="auto"/>
                <w:w w:val="92"/>
              </w:rPr>
              <w:t>Nine Months Ended September 30,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center"/>
              <w:ind w:left="51"/>
              <w:spacing w:after="0"/>
              <w:rPr>
                <w:sz w:val="20"/>
                <w:szCs w:val="20"/>
                <w:color w:val="auto"/>
              </w:rPr>
            </w:pPr>
            <w:r>
              <w:rPr>
                <w:rFonts w:ascii="Arial" w:cs="Arial" w:eastAsia="Arial" w:hAnsi="Arial"/>
                <w:sz w:val="16"/>
                <w:szCs w:val="16"/>
                <w:b w:val="1"/>
                <w:bCs w:val="1"/>
                <w:color w:val="auto"/>
                <w:w w:val="86"/>
              </w:rPr>
              <w:t>Acceptance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rPr>
              <w:t>Fintech</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Payments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Corporate</w:t>
            </w:r>
          </w:p>
        </w:tc>
        <w:tc>
          <w:tcPr>
            <w:tcW w:w="30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and Other</w:t>
            </w:r>
          </w:p>
        </w:tc>
        <w:tc>
          <w:tcPr>
            <w:tcW w:w="3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4,779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2,251</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4,297</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11,969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4,078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2,159</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4,093</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11,020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3"/>
          </w:tcPr>
          <w:p>
            <w:pPr>
              <w:ind w:left="340"/>
              <w:spacing w:after="0"/>
              <w:rPr>
                <w:sz w:val="20"/>
                <w:szCs w:val="20"/>
                <w:color w:val="auto"/>
              </w:rPr>
            </w:pPr>
            <w:r>
              <w:rPr>
                <w:rFonts w:ascii="Arial" w:cs="Arial" w:eastAsia="Arial" w:hAnsi="Arial"/>
                <w:sz w:val="18"/>
                <w:szCs w:val="18"/>
                <w:color w:val="auto"/>
              </w:rPr>
              <w:t>Revenue growth</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701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92</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204</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949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794</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1,850</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1,755</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985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721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1,712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1,336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419</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gridSpan w:val="3"/>
          </w:tcPr>
          <w:p>
            <w:pPr>
              <w:ind w:left="340"/>
              <w:spacing w:after="0" w:line="176" w:lineRule="exact"/>
              <w:rPr>
                <w:sz w:val="20"/>
                <w:szCs w:val="20"/>
                <w:color w:val="auto"/>
              </w:rPr>
            </w:pPr>
            <w:r>
              <w:rPr>
                <w:rFonts w:ascii="Arial" w:cs="Arial" w:eastAsia="Arial" w:hAnsi="Arial"/>
                <w:sz w:val="18"/>
                <w:szCs w:val="18"/>
                <w:color w:val="auto"/>
              </w:rPr>
              <w:t>Operating income growth</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49 %</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3"/>
          </w:tcPr>
          <w:p>
            <w:pPr>
              <w:ind w:left="500"/>
              <w:spacing w:after="0"/>
              <w:rPr>
                <w:sz w:val="20"/>
                <w:szCs w:val="20"/>
                <w:color w:val="auto"/>
              </w:rPr>
            </w:pPr>
            <w:r>
              <w:rPr>
                <w:rFonts w:ascii="Arial" w:cs="Arial" w:eastAsia="Arial" w:hAnsi="Arial"/>
                <w:sz w:val="18"/>
                <w:szCs w:val="18"/>
                <w:color w:val="auto"/>
              </w:rPr>
              <w:t>percentage</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30.6 %</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14.7 %</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60" w:type="dxa"/>
            <w:vAlign w:val="bottom"/>
            <w:gridSpan w:val="3"/>
          </w:tcPr>
          <w:p>
            <w:pPr>
              <w:ind w:left="38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920" w:type="dxa"/>
            <w:vAlign w:val="bottom"/>
          </w:tcPr>
          <w:p>
            <w:pPr>
              <w:jc w:val="center"/>
              <w:ind w:left="71"/>
              <w:spacing w:after="0"/>
              <w:rPr>
                <w:sz w:val="20"/>
                <w:szCs w:val="20"/>
                <w:color w:val="auto"/>
              </w:rPr>
            </w:pPr>
            <w:r>
              <w:rPr>
                <w:rFonts w:ascii="Arial" w:cs="Arial" w:eastAsia="Arial" w:hAnsi="Arial"/>
                <w:sz w:val="18"/>
                <w:szCs w:val="18"/>
                <w:color w:val="auto"/>
                <w:w w:val="93"/>
              </w:rPr>
              <w:t>650</w:t>
            </w:r>
          </w:p>
        </w:tc>
        <w:tc>
          <w:tcPr>
            <w:tcW w:w="520" w:type="dxa"/>
            <w:vAlign w:val="bottom"/>
            <w:gridSpan w:val="3"/>
          </w:tcPr>
          <w:p>
            <w:pPr>
              <w:spacing w:after="0"/>
              <w:rPr>
                <w:sz w:val="20"/>
                <w:szCs w:val="20"/>
                <w:color w:val="auto"/>
              </w:rPr>
            </w:pPr>
            <w:r>
              <w:rPr>
                <w:rFonts w:ascii="Arial" w:cs="Arial" w:eastAsia="Arial" w:hAnsi="Arial"/>
                <w:sz w:val="18"/>
                <w:szCs w:val="18"/>
                <w:color w:val="auto"/>
              </w:rPr>
              <w:t>bps</w:t>
            </w:r>
          </w:p>
        </w:tc>
        <w:tc>
          <w:tcPr>
            <w:tcW w:w="300" w:type="dxa"/>
            <w:vAlign w:val="bottom"/>
          </w:tcPr>
          <w:p>
            <w:pPr>
              <w:spacing w:after="0"/>
              <w:rPr>
                <w:sz w:val="24"/>
                <w:szCs w:val="24"/>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190</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bps</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130</w:t>
            </w:r>
          </w:p>
        </w:tc>
        <w:tc>
          <w:tcPr>
            <w:tcW w:w="840" w:type="dxa"/>
            <w:vAlign w:val="bottom"/>
            <w:gridSpan w:val="3"/>
          </w:tcPr>
          <w:p>
            <w:pPr>
              <w:jc w:val="right"/>
              <w:ind w:right="580"/>
              <w:spacing w:after="0"/>
              <w:rPr>
                <w:sz w:val="20"/>
                <w:szCs w:val="20"/>
                <w:color w:val="auto"/>
              </w:rPr>
            </w:pPr>
            <w:r>
              <w:rPr>
                <w:rFonts w:ascii="Arial" w:cs="Arial" w:eastAsia="Arial" w:hAnsi="Arial"/>
                <w:sz w:val="18"/>
                <w:szCs w:val="18"/>
                <w:color w:val="auto"/>
                <w:w w:val="82"/>
              </w:rPr>
              <w:t>bps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260</w:t>
            </w:r>
          </w:p>
        </w:tc>
        <w:tc>
          <w:tcPr>
            <w:tcW w:w="420" w:type="dxa"/>
            <w:vAlign w:val="bottom"/>
          </w:tcPr>
          <w:p>
            <w:pPr>
              <w:ind w:left="20"/>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or decline in operating margin.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Total revenue increased $377 million, or 10%, in the third quarter of 2021 and increased $949 million, or 9%, in the first nine months of 2021 compared to 2020. The revenue increase was primarily due to improved payment and transaction volumes in our merchant acquiring and payment-related businesses, which were adversely affected by the economic impact of the COVID-19 pandemic during the prior year. This growth was partially offset by the loss of revenue attributable to dispositions that had revenue of $155 million in the first nine months of 2020.</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 in our Acceptance segment increased $262 million, or 18%, in the third quarter of 2021 and increased $701 million, or 17%, in the first nine months of 2021 compared to 2020. The revenue increase was primarily due to improved merchant</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acquiring payment and transaction volumes, which were adversely affected in the prior year by the economic impact of the COVID-19 pandemic. Revenue increases from volume growth were partially offset by revenue reductions from the dissolution of the BAMS joint venture of 3% in the first nine months of 2021.</w:t>
      </w:r>
    </w:p>
    <w:p>
      <w:pPr>
        <w:spacing w:after="0" w:line="13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Revenue in our Fintech segment increased $34 million, or 5%, in the third quarter of 2021 and increased $92 million, or 4%, in the first nine months of 2021 compared to 2020, driven by recurring revenue growth from higher processing revenue across our Fintech businesses.</w:t>
      </w:r>
    </w:p>
    <w:p>
      <w:pPr>
        <w:spacing w:after="0" w:line="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Revenue in our Payments segment increased $84 million, or 6%, in the third quarter of 2021 and increased $204 million, or 5%, in the first nine months of 2021 compared to 2020. Payments segment revenue growth was driven by revenue contributions of 3% from our debit processing business in both the third quarter and first nine months of 2021 primarily attributable to increased transaction volumes and favorable pricing. Increased volumes also drove favorable revenue growth across our remaining Payments segment businesses in 2021, other than reductions in our bill payment business which partially offset revenue growth by 1% in both the third quarter and first nine months of 2021.</w:t>
      </w:r>
    </w:p>
    <w:p>
      <w:pPr>
        <w:spacing w:after="0" w:line="12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Revenue at Corporate and Other decreased $3 million, or 1%, in the third quarter of 2021 and decreased $48 million, or 7%, in the first nine months of 2021 compared to 2020. Postage revenue declines and the disposition of a 60% controlling interest of our Investment Services business each reduced Corporate and Other revenue in the first nine months of 2021 by 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Total expenses increased $283 million, or 9%, in the third quarter of 2021 and increased $530 million, or 5%, in the first nine months of 2021 compared to 2020. Total expenses as a percentage of total revenue decreased 100 basis points to 84.7% in the third quarter and decreased 260 basis points to 85.3% in the first nine months of 2021 compared to 2020. Total expenses as a percentage of total revenue were favorably impacted in 2021 by operating leverage accompanying revenue growth. A reduction in acquisition and integration related expenses of $151 million and lower employee termination costs of $60 million favorably impacted total expenses as a percentage of total revenue in the first nine months of 2021.</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Cost of processing and services as a percentage of processing and services revenue increased to 44.9% in the third quarter of 2021 compared to 44.0% in the third quarter of 2020 and decreased to 45.1% in the first nine months of 2021 compared to 49.2% in the first nine months of 2020. Cost of processing and services as a percentage of processing and services revenue was favorably impacted in the first nine months of 2021 primarily due to strong operating leverage across our businesses, along with approximately 40 basis points from decreased acquisition and integration related expenses and approximately 30 basis points from decreased employee termination costs compared to the first nine months of 2020, respectively.</w:t>
      </w:r>
    </w:p>
    <w:p>
      <w:pPr>
        <w:spacing w:after="0" w:line="12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Cost of product as a percentage of product revenue decreased to 68.9% in the third quarter of 2021 compared to 76.0% in the third quarter of 2020 and decreased to 69.9% in first nine months of 2021 compared to 77.1% in the first nine months of 2020. The cost of product as a percentage of product revenue improved in the third quarter and first nine months of 2021 as a result of revenue mix.</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Selling, general and administrative expenses as a percentage of total revenue decreased to 35.5% in the third quarter of 2021 compared to 37.3% in the third quarter of 2020 and decreased to 35.8% in the first nine months of 2021 compared to 38.0% in the first nine months of 2020. The decrease in selling, general and administrative expenses as a percentage of total revenue in 2021 was primarily due to strong operating leverage across our businesses, along with approximately 110 basis points from decreased acquisition and integration related expenses and approximately 20 basis points from decreased employee termination costs in the first nine months of 2021.</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gains on sale of businesses in 2020 resulted from a gain of $428 million on the sale of a 60% interest of our Investment Services business in February 2020 and a gain of $36 million on the dissolution of BAMS in July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Total operating income increased $94 million, or 17%, in the third quarter of 2021 and increased $419 million, or 31%, in the first nine months of 2021 compared to 2020. Total operating margin increased 100 basis points to 15.3% in the third quarter of 2021 and increased 260 basis points to 14.7% in the first nine months of 2021 compared to 2020. Total operating income and total operating margin benefited from improved operating leverage accompanying scalable revenue growth in the third quarter and first nine months of 2021 and benefited from a reduction in acquisition and integration related expenses and lower employee termination costs in the first nine months of 2021 as noted above. Total operating income and total operating margin were also impacted by a $428 million gain on sale of a 60% interest of our Investment Services business in February 2020 and a $36 million gain on the dissolution of BAMS in July 2020.</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in our Acceptance segment increased $129 million, or 30%, in the third quarter of 2021 and increased $478 million, or 49%, in the first nine months of 2021 compared to 2020. Operating margin increased 310 basis points to 32.2% in the third quarter of 2021 and increased 650 basis points to 30.6% in the first nine months of 2021 compared to 2020. Acceptance operating margin growth in both the third quarter and first nine months of 2021 was primarily due to scalable revenue growth as discussed above.</w:t>
      </w:r>
    </w:p>
    <w:p>
      <w:pPr>
        <w:spacing w:after="0" w:line="133"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Operating income in our Fintech segment increased $10 million, or 4%, in the third quarter of 2021 and increased $73 million, or 10% in the first nine months of 2021 compared to 2020. Operating margin decreased 40 basis points to 36.0% in the third quarter of 2021 and increased 190 basis points to</w:t>
      </w:r>
    </w:p>
    <w:p>
      <w:pPr>
        <w:ind w:right="120"/>
        <w:spacing w:after="0" w:line="302" w:lineRule="auto"/>
        <w:rPr>
          <w:sz w:val="20"/>
          <w:szCs w:val="20"/>
          <w:color w:val="auto"/>
        </w:rPr>
      </w:pPr>
      <w:r>
        <w:rPr>
          <w:rFonts w:ascii="Arial" w:cs="Arial" w:eastAsia="Arial" w:hAnsi="Arial"/>
          <w:sz w:val="16"/>
          <w:szCs w:val="16"/>
          <w:color w:val="auto"/>
        </w:rPr>
        <w:t>35.3% in the first nine months of 2021 compared to 2020. Operating margin improvement in the first nine months of 2021 was driven by scalable revenue growth discussed above and also reflects the impact of expense management initiatives across the segment, including lower personnel costs of approximately 80 basis points and additional expense reductions attributable to lower travel and marketing expenses of approximately 30 basis points.</w:t>
      </w:r>
    </w:p>
    <w:p>
      <w:pPr>
        <w:spacing w:after="0" w:line="10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Operating income in our Payments segment increased $44 million, or 7%, in the third quarter of 2021 and increased $138 million, or 8%, in the first nine months of 2021 compared to 2020. Operating margin increased 50 basis points to 43.7% in the third quarter of 2021 and increased 130 basis points to 43.1% in the first nine months of 2021 compared to 2020. Payments segment operating margin growth in both the third quarter and first nine months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was primarily attributable to scalable revenue growth as discussed above.</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operating loss in Corporate and Other increased $89 million in the third quarter of 2021 and increased $270 million in the first nine months of 2021 compared to 2020. Corporate and Other was unfavorably impacted by increases in acquisition and integration costs of $37 million in the third quarter of 2021 compared to 2020. Corporate and Other was favorably impacted by a reduction of acquisition and integration related costs of $151 million and lower employee termination costs of $60 million in the first nine months of 2021 compared to 2020. Additionally, Corporate and Other was favorably impacted by a $428 million gain on sale of a 60% interest of our Investment Services business in February 2020 and a $36 million gain on the dissolution of BAMS in July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net was relatively consistent in the third quarter of 2021 compared to 2020, and decreased $12 million, or 2%, in the first nine months of 2021 compared to 2020 primarily due to lower outstanding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 income was relatively consistent through the first nine months of 2021 compared to 2020. Other income includes net foreign currency transaction gains and losses, gains or losses from a change in fair value of investments in certain equity securities, amounts related to the release of risk under our non-contingent guarantee arrangements and changes in the provision of estimated credit losses associated with indebtedness of certain joint ventures. Other income includes net foreign currency transaction gains of $8 million and $3 million in the first nine months of 2021 and 2020, respectively. In addition, other income includes $12 million in the first nine months of 2021 related to a pre-tax gain on the remeasurement of a previously held investment in Ondot to fair value upon acquiring the remaining ownership interest in that entity and $19 million in the first nine months of 2020 related to a pre-tax gain on the sale of certain lease receivables.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 provision as a percentage of income before income taxes and income from investments in unconsolidated affiliates was 11.3% and 32.5% for the three months ended September 30, 2021 and 2020, respectively, and was 23.7% and 21.1% for the nine months ended September 30, 2021 and 2020, respectively. The effective income tax rate for the three months ended September 30, 2021 includes discrete tax benefits from subsidiary restructurings and changes in uncertain tax positions. The effective income tax rate for the three months ended September 30, 2020 included $32 million of income tax expense related to the revaluation of certain net deferred tax liabilities as a result of an increase in the United Kingdom corporate income tax rate from 17% to 19% in the quarter.</w:t>
      </w:r>
    </w:p>
    <w:p>
      <w:pPr>
        <w:spacing w:after="0" w:line="13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effective income tax rate for the nine months ended September 30, 2021 includes $134 million of income tax expense attributed to the revaluation of certain net deferred tax liabilities, primarily related to intangible assets and investments in joint ventures recognized at fair value in connection with the acquisition of First Data, reflecting the effect of enacted corporate income tax rate changes in the United Kingdom (tax rate increase from 19% to 25% starting in 2023) and Argentina (tax rate increase from 25% to 35%), partially offset by discrete tax benefits from subsidiary restructurings, changes in uncertain tax positions and equity compensation related tax benefits. The effective income tax rate for the nine months ended September 30, 2020 included $112 million of income tax expense associated with the $428 million gain on the sale of a 60% interest of our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Investment Services business and $32 million of income tax expense noted above, partially offset by changes in uncertain tax positions and equity compensation related tax benefits.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Investments in Unconsolidated Affiliates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share of net income from affiliates accounted for using the equity method of accounting is reported as income from investments in unconsolidated affiliates and the related tax expense or benefit is reported within the income tax provision in the consolidated statements of income. Income from investments in unconsolidated affiliates, including acquired intangible asset amortization from valuations in purchase accounting, was $22 million and $19 million in the third quarter of 2021 and 2020, respectively, and $80 million and $3 million in the first nine months of 2021 and 2020, respectively</w:t>
      </w:r>
      <w:r>
        <w:rPr>
          <w:rFonts w:ascii="Arial" w:cs="Arial" w:eastAsia="Arial" w:hAnsi="Arial"/>
          <w:sz w:val="18"/>
          <w:szCs w:val="18"/>
          <w:i w:val="1"/>
          <w:iCs w:val="1"/>
          <w:color w:val="auto"/>
        </w:rPr>
        <w:t>.</w:t>
      </w:r>
      <w:r>
        <w:rPr>
          <w:rFonts w:ascii="Arial" w:cs="Arial" w:eastAsia="Arial" w:hAnsi="Arial"/>
          <w:sz w:val="18"/>
          <w:szCs w:val="18"/>
          <w:color w:val="auto"/>
        </w:rPr>
        <w:t xml:space="preserve"> Income from investments in unconsolidated affiliates for the first nine months of 2021 included a $33 million pre-tax gain resulting from the sale of our remaining ownership interest in InvestCloud and a $28 million pre-tax gain resulting from the dilution of our ownership interest in connection with the Tegra118 merger with a third party.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Net income attributable to noncontrolling interests and redeemable noncontrolling interests relates to the ownership interest of our consolidated alliance partners in our consolidated results. Net income attributable to noncontrolling interests, including acquired intangible asset amortization from valuations in purchase accounting, was $18 million and $12 million in the third quarter of 2021 and 2020, respectively, and $47 million and $4 million in the first nine months of 2021 and 2020, respectively. Net income attributable to noncontrolling interests increased in the third quarter and first nine months of 2021 compared to 2020 due to improved operating results within the consolidating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income attributable to Fiserv, Inc. per share-diluted was $0.64 and $0.39 in the third quarter of 2021 and 2020, respectively, and was $1.49 and $0.96 in the first nine months of 2021 and 2020, respectively. Net income attributable to Fiserv, Inc. per share-diluted increased in the third quarter and in the first nine months of 2021 primarily as a result of the improved operating results discussed above. Net income attributable to Fiserv, Inc. per share-diluted in the third quarter of 2021 also included lower tax expense due to subsidiary restructurings and changes in uncertain tax 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using cash flow generated by our operations, along with our cash and cash equivalents of $933 million, proceeds from the issuance of U.S. commercial paper notes, and available capacity under our revolving credit facility of $2.0 billion (net of outstanding balance and $1.4 billion of capacity designated for outstanding borrowings under our commercial paper notes program) at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our operating cash flow and capital expenditure amounts for the nine months ended September 30, 2021 and 2020,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September 30,</w:t>
            </w:r>
          </w:p>
        </w:tc>
        <w:tc>
          <w:tcPr>
            <w:tcW w:w="360" w:type="dxa"/>
            <w:vAlign w:val="bottom"/>
          </w:tcPr>
          <w:p>
            <w:pPr>
              <w:spacing w:after="0"/>
              <w:rPr>
                <w:sz w:val="19"/>
                <w:szCs w:val="19"/>
                <w:color w:val="auto"/>
              </w:rPr>
            </w:pPr>
          </w:p>
        </w:tc>
        <w:tc>
          <w:tcPr>
            <w:tcW w:w="26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w:t>
            </w:r>
          </w:p>
        </w:tc>
        <w:tc>
          <w:tcPr>
            <w:tcW w:w="1620" w:type="dxa"/>
            <w:vAlign w:val="bottom"/>
            <w:tcBorders>
              <w:top w:val="single" w:sz="8" w:color="auto"/>
            </w:tcBorders>
            <w:gridSpan w:val="2"/>
          </w:tcPr>
          <w:p>
            <w:pPr>
              <w:jc w:val="right"/>
              <w:ind w:right="660"/>
              <w:spacing w:after="0" w:line="18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businesses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Income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Non-cash impairment charges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changes in working capital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Operating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Capital expenditures, including capitalized software and other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Our net cash provided by operating activities, or operating cash flow, was $2.7 billion in the first nine months of 2021, a decrease of 9% compared with</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$3.0 billion in the first nine months of 2020. This decrease was primarily attributable to higher working capital use compared to the prior period, including increased accounts receivable corresponding to revenue growth, and higher income tax payments following consumption of federal net operating loss carryforwards, partially offset by improved operating results.</w:t>
      </w:r>
    </w:p>
    <w:p>
      <w:pPr>
        <w:spacing w:after="0" w:line="13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current policy is to use our operating cash flow primarily to fund capital expenditures, share repurchases, acquisitions and to repay debt rather than to pay dividends. Our capital expenditures were approximately 7% and 6% of our total revenue for the first nine months of 2021 and 2020,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repurchased $1.6 billion and $1.4 billion of our common stock during the first nine months of 2021 and 2020, respectively. As of September 30, 2021, we had approximately 52.3 million shares remaining under our current repurchase authorization. Shares repurchased are generally held for issuance in connection with our 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June 2021 we acquired SpendLabs, in May 2021 we acquired Pineapple Payments, and in March 2021 we acquired Radius8. Additionally, in January 2021, we acquired a remaining ownership interest in Ondot, in which we previously held a noncontrolling equity interest. We acquired these businesses for an aggregate purchase price of $524 million, net of $19 million of acquired cash, and including earn-out provisions estimated at an aggregate fair value of $30 million. We funded these acquisitions by utilizing a combination of available cash and existing availability under our revolving credit facility. The results of operations for these acquired businesses are included in our consolidated results from the respective dates of acquisition.</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May 2020, we acquired Inlet and, in March 2020, we acquired MerchantPro and Bypass. We acquired these businesses for an aggregate purchase price of $167 million, net of $2 million of acquired cash, and including earn-out provisions estimated at a fair value of $45 million. We funded these acquisitions by utilizing a combination of available cash and existing availability under our revolving credit facility. The results of operations for these acquired businesses are included in our consolidated results from the respective dates of acquisition.</w:t>
      </w:r>
    </w:p>
    <w:p>
      <w:pPr>
        <w:spacing w:after="0" w:line="1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October 18, 2021, we entered into a definitive agreement to acquire BentoBox, which we expect to close in the fourth quarter of 2021, subject to customary approvals and closing conditions. We plan to fund this acquisition by utilizing a combination of available cash and available borrowing capacity.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Effective July 2020, we and BANA dissolved the BAMS joint venture, of which we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consist of supporting the transition of the business to each party and an orderly wind down of remaining BAMS assets and liabilities. The revenues and expenses of the BAMS joint venture were consolidated into our financial results through the date of dissolution. The business transferred to us is included within our Acceptance segment. We continue to provide merchant processing and related services to former BAMS clients allocated to BANA, at BAMS pricing, through June 2023. We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2020, we sold a 60% controlling interest of our Investment Services business, subsequently renamed as Tegra118. We received pre-tax proceeds of $578 million, net of related expenses, resulting in a pre-tax gain on the sale of $428 million, with the related tax expense of $112 million. The revenues, expenses and cash flows of the Investment Services business were consolidated into our financial results through the date of the sale transaction. The net proceeds from the sale were primarily used to repurchase shares of our common stock. In February 2021, Tegra118 completed a merger with a third party, resulting in a dilution of our ownership interest in the combined new entity, Wealthtech Holdings, LLC, which was subsequently renamed as InvestCloud. In connection with the transaction, we made an additional capital contribution, funded under our revolving credit facility, of $200 million into the combined entity and recognized a pre-tax gain of $28 million, with a related tax expense of $6 million. In June 2021, we sold our entire ownership interest in InvestCloud for $466 million, resulting in a pre-tax gain of $33 million, with a related tax expense of $8 million. The net proceeds from the sale were primarily used to pay down outstanding borrowings on our term loan facility.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6"/>
                <w:szCs w:val="16"/>
                <w:color w:val="auto"/>
              </w:rPr>
            </w:pPr>
          </w:p>
        </w:tc>
        <w:tc>
          <w:tcPr>
            <w:tcW w:w="1600" w:type="dxa"/>
            <w:vAlign w:val="bottom"/>
          </w:tcPr>
          <w:p>
            <w:pPr>
              <w:jc w:val="right"/>
              <w:ind w:right="150"/>
              <w:spacing w:after="0"/>
              <w:rPr>
                <w:sz w:val="20"/>
                <w:szCs w:val="20"/>
                <w:color w:val="auto"/>
              </w:rPr>
            </w:pPr>
            <w:r>
              <w:rPr>
                <w:rFonts w:ascii="Arial" w:cs="Arial" w:eastAsia="Arial" w:hAnsi="Arial"/>
                <w:sz w:val="16"/>
                <w:szCs w:val="16"/>
                <w:b w:val="1"/>
                <w:bCs w:val="1"/>
                <w:color w:val="auto"/>
                <w:w w:val="92"/>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Foreign lines of credit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20" w:type="dxa"/>
            <w:vAlign w:val="bottom"/>
          </w:tcPr>
          <w:p>
            <w:pPr>
              <w:spacing w:after="0"/>
              <w:rPr>
                <w:sz w:val="19"/>
                <w:szCs w:val="19"/>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Total short-term and current maturities of long-term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4.750% senior notes due June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3.500% senior notes due October 2022</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0.375% senior notes due July 2023 (Euro-denominated)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3.800% senior notes due October 2023</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2.750% senior notes due July 2024</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3.850% senior notes due June 2025</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2.250% senior notes due July 2025 (British Pound-denominated)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3.200% senior notes due July 2026</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2.250% senior notes due June 2027</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1.125% senior notes due July 2027 (Euro-denominated)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4.200% senior notes due October 2028</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3.500% senior notes due July 2029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2.650% senior notes due June 2030</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1.625% senior notes due July 2030 (Euro-denominated)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3.000% senior notes due July 2031 (British Pound-denominated)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4.400% senior notes due July 2049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 securitized loan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Unamortized discount and deferred financing costs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U.S. commercial paper notes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September 30, 2021, our debt consisted primarily of $17.8 billion of fixed-rate senior notes and $1.4 billion of outstanding borrowings under our U.S. commercial paper notes program.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and interest on our term loan is paid monthly. Outstanding borrowings under the receivable securitized loan, which matures in July 2022, and U.S commercial paper notes program are classified in the consolidated balance sheet as long-term, as we have the intent to refinance these borrowings on a long-term basis through the continued issuance of new commercial paper notes upon maturity, and we also have the ability to refinance such borrowings under our revolving credit facility. We used the net proceeds from the issuance of U.S commercial paper notes to repay borrowings outstanding under our revolving credit facility as of the issuance date, to repay the 4.750% senior notes that matured in June 2021, and to pay down outstanding borrowings on our term loan facility.</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prior to the applicable maturity date.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revolving credit facility and term loan facility contain various restrictions and covenants that require us, among other things, to (i) limit our consolidated indebtedness as of the end of each fiscal quarter to no more than three and one-half times our consolidated net earnings before interest, taxes, depreciation, amortization, non-cash charges and expenses and certain other adjustments (“EBITDA”) during the period of four fiscal quarters then ended, subject to certain exceptions, and (ii) maintain EBITDA of at least three times our consolidated interest expense as of the end of each fiscal quarter for the period of four fiscal quarters then ended.</w:t>
      </w:r>
    </w:p>
    <w:p>
      <w:pPr>
        <w:spacing w:after="0" w:line="13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first nine months of 2021,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4"/>
          </w:tcPr>
          <w:p>
            <w:pPr>
              <w:spacing w:after="0"/>
              <w:rPr>
                <w:sz w:val="20"/>
                <w:szCs w:val="20"/>
                <w:color w:val="auto"/>
              </w:rPr>
            </w:pPr>
            <w:r>
              <w:rPr>
                <w:rFonts w:ascii="Arial" w:cs="Arial" w:eastAsia="Arial" w:hAnsi="Arial"/>
                <w:sz w:val="18"/>
                <w:szCs w:val="18"/>
                <w:i w:val="1"/>
                <w:iCs w:val="1"/>
                <w:color w:val="auto"/>
              </w:rPr>
              <w:t>Variable Rate Debt</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380" w:type="dxa"/>
            <w:vAlign w:val="bottom"/>
            <w:gridSpan w:val="4"/>
          </w:tcPr>
          <w:p>
            <w:pPr>
              <w:spacing w:after="0"/>
              <w:rPr>
                <w:sz w:val="20"/>
                <w:szCs w:val="20"/>
                <w:color w:val="auto"/>
              </w:rPr>
            </w:pPr>
            <w:r>
              <w:rPr>
                <w:rFonts w:ascii="Arial" w:cs="Arial" w:eastAsia="Arial" w:hAnsi="Arial"/>
                <w:sz w:val="18"/>
                <w:szCs w:val="18"/>
                <w:color w:val="auto"/>
                <w:w w:val="93"/>
              </w:rPr>
              <w:t>Our variable rate debt consisted of the following at September 30, 2021:</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0"/>
              </w:rPr>
              <w:t>Outstanding Borrowings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820" w:type="dxa"/>
            <w:vAlign w:val="bottom"/>
            <w:gridSpan w:val="2"/>
            <w:vMerge w:val="continue"/>
          </w:tcPr>
          <w:p>
            <w:pPr>
              <w:spacing w:after="0"/>
              <w:rPr>
                <w:sz w:val="16"/>
                <w:szCs w:val="16"/>
                <w:color w:val="auto"/>
              </w:rPr>
            </w:pPr>
          </w:p>
        </w:tc>
        <w:tc>
          <w:tcPr>
            <w:tcW w:w="20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1"/>
              </w:rPr>
              <w:t>Interest Rate</w:t>
            </w:r>
          </w:p>
        </w:tc>
        <w:tc>
          <w:tcPr>
            <w:tcW w:w="1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lines of credit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29.39%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Receivable securitized loan</w:t>
            </w: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July 2022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0.93%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facility</w:t>
            </w:r>
          </w:p>
        </w:tc>
        <w:tc>
          <w:tcPr>
            <w:tcW w:w="1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July 2024</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U.S. commercial paper notes</w:t>
            </w: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various</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0.19%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September 2023</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1.17%</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3"/>
          </w:tcPr>
          <w:p>
            <w:pPr>
              <w:ind w:left="320"/>
              <w:spacing w:after="0"/>
              <w:rPr>
                <w:sz w:val="20"/>
                <w:szCs w:val="20"/>
                <w:color w:val="auto"/>
              </w:rPr>
            </w:pPr>
            <w:r>
              <w:rPr>
                <w:rFonts w:ascii="Arial" w:cs="Arial" w:eastAsia="Arial" w:hAnsi="Arial"/>
                <w:sz w:val="18"/>
                <w:szCs w:val="18"/>
                <w:color w:val="auto"/>
              </w:rPr>
              <w:t>Total variable rate debt</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maintain short-term lines of credit with foreign banks and alliance partners primarily to fund settlement activity. These arrangements are primarily associated with our international operations and are in various functional currencies, the most significant of which is the Argentine peso.</w:t>
      </w:r>
    </w:p>
    <w:p>
      <w:pPr>
        <w:spacing w:after="0" w:line="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maintain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of our wholly-owned subsidiaries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of our entities or affiliates, and FDR’s creditors would be entitled, upon its liquidation, to be satisfied out of FDR’s assets prior to any assets or value in FDR becoming available to us. FDR held $1.0 billion in receivables as part of the securitization program, and utilized the receivables as collateral in borrowings of $500 million at September 30, 2021. Outstanding borrowings bear interest at a variable rate based on LIBOR plus a specified margin. At September 30, 2021, the collateral capacity under the Receivables Financing Agreement was $766 million, and the maximum borrowing capacity was $500 million.</w:t>
      </w:r>
    </w:p>
    <w:p>
      <w:pPr>
        <w:spacing w:after="0" w:line="12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Beginning in May 2021, we have maintained a U.S. unsecured commercial paper notes program with various maturities generally ranging from one to four weeks. Outstanding borrowings under the commercial paper notes bear interest based on the prevailing rates at the time of issuance.</w:t>
      </w:r>
    </w:p>
    <w:p>
      <w:pPr>
        <w:spacing w:after="0" w:line="9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maintain an amended and restated revolving credit facility with aggregate commitments available for $3.5 billion of total capacity. Outstanding borrowings under the revolving credit facility and term loan bear interest at a variable rate based on LIBOR or a base rate, plus, in each case, a specified margin based on our long-term debt rating in effect from time to time. There are no significant commitment fees and no compensating balance requirements on the revolving 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Investments (other than those included in settlement assets) with original maturities of three months or less that are readily convertible to cash are considered to be cash equivalents. At September 30, 2021 and December 31, 2020, we held $933 million and $906 million in cash and cash equivalents,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cash and cash equivalents at: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6"/>
              </w:rPr>
              <w:t>September 30, 2021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8"/>
              </w:rPr>
              <w:t>December 31, 2020</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22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Domestic</w:t>
            </w:r>
          </w:p>
        </w:tc>
        <w:tc>
          <w:tcPr>
            <w:tcW w:w="160" w:type="dxa"/>
            <w:vAlign w:val="bottom"/>
          </w:tcPr>
          <w:p>
            <w:pPr>
              <w:spacing w:after="0"/>
              <w:rPr>
                <w:sz w:val="14"/>
                <w:szCs w:val="14"/>
                <w:color w:val="auto"/>
              </w:rPr>
            </w:pPr>
          </w:p>
        </w:tc>
        <w:tc>
          <w:tcPr>
            <w:tcW w:w="1300" w:type="dxa"/>
            <w:vAlign w:val="bottom"/>
            <w:gridSpan w:val="2"/>
          </w:tcPr>
          <w:p>
            <w:pPr>
              <w:ind w:left="60"/>
              <w:spacing w:after="0" w:line="172" w:lineRule="exact"/>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4"/>
                <w:szCs w:val="14"/>
                <w:color w:val="auto"/>
              </w:rPr>
            </w:pPr>
          </w:p>
        </w:tc>
        <w:tc>
          <w:tcPr>
            <w:tcW w:w="106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Domestic</w:t>
            </w:r>
          </w:p>
        </w:tc>
        <w:tc>
          <w:tcPr>
            <w:tcW w:w="180" w:type="dxa"/>
            <w:vAlign w:val="bottom"/>
          </w:tcPr>
          <w:p>
            <w:pPr>
              <w:spacing w:after="0"/>
              <w:rPr>
                <w:sz w:val="14"/>
                <w:szCs w:val="14"/>
                <w:color w:val="auto"/>
              </w:rPr>
            </w:pPr>
          </w:p>
        </w:tc>
        <w:tc>
          <w:tcPr>
            <w:tcW w:w="1300" w:type="dxa"/>
            <w:vAlign w:val="bottom"/>
            <w:gridSpan w:val="2"/>
          </w:tcPr>
          <w:p>
            <w:pPr>
              <w:ind w:left="60"/>
              <w:spacing w:after="0" w:line="172" w:lineRule="exact"/>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4"/>
                <w:szCs w:val="14"/>
                <w:color w:val="auto"/>
              </w:rPr>
            </w:pPr>
          </w:p>
        </w:tc>
        <w:tc>
          <w:tcPr>
            <w:tcW w:w="106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Unavailable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right="200" w:hanging="328"/>
        <w:spacing w:after="0" w:line="230"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Represents cash held primarily by our joint ventures that is not available to fund operations outside of those entities unless the board of directors for said entities declares a dividend, as well as cash held by certain other entities that are subject to foreign exchange controls in certain countries or regulatory capital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COVID-19 pandemic has created significant uncertainty as to general global economic and market conditions. We believe we have adequate capital resources and sufficient access to external financing sources to satisfy our current and reasonably anticipated requirements for funds to conduct our operations and meet other needs in the ordinary course of our business. However, as the impact of the pandemic on the economy and our operations further evolves, we will continue to assess our liquidity needs. The ability to continue to service debt and meet lease and other obligations as they come due depends on our continued ability to generate earnings and cash flows. A lack of continued recovery or further deterioration in economic and market conditions could materially affect our future access to our sources of liquidity, particularly our cash flows from operations.</w:t>
      </w:r>
    </w:p>
    <w:p>
      <w:pPr>
        <w:spacing w:after="0" w:line="1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engage in regular communication with the banks that participate in our revolving credit facility. During these communications, none of the banks have indicated that they may be unable to perform on their commitments. We periodically review our banking and financing relationships, considering the stability of the institutions, pricing we receive on services, and other aspects of the relationships. Based on these communications and our monitoring activities, we believe the likelihood of one of our banks not performing on its commitment is remote. We maintain a U.S. commercial paper notes program to access funding for general corporate purposes at favorable rates and to provide a source of liquidity. As of September 30, 2021, we had a commercial paper credit rating of P-2 from Moody’s Investors Service, Inc. (“Moody’s”) and A-2 from Standard &amp; Poor’s Rating Services (“S&amp;P). Any downgrade to our commercial paper credit ratings or instability in the commercial paper markets may adversely impact our ability to access funding through our commercial paper notes program and require us to rely more heavily on more expensive financing arrangements, including our revolving credit facility. In addition, the long-term debt markets have historically provided us with a source of liquidity.</w:t>
      </w:r>
    </w:p>
    <w:p>
      <w:pPr>
        <w:spacing w:after="0" w:line="12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Although we do not currently anticipate an inability to obtain financing from long-term debt markets in the future, the COVID-19 pandemic could make financing more difficult and/or expensive to obtain. Our ability to access the long-term debt markets on favorable interest rates and other terms also depends on the ratings assigned by the credit rating agencies to our indebtedness. As of September 30, 2021, we had a corporate credit rating of Baa2 with a stable outlook from Moody’s and BBB with a stable outlook from S&amp;P. In the event that the ratings of our outstanding long-term debt securities were substantially lowered or withdrawn for any reason, or if the ratings assigned to any new issue of long-term debt securities were significantly lower than those noted above, particularly if we no longer had investment grade ratings, our ability to access the debt markets could be adversely affected and our interest expense could increase under the terms of certain of our long-term debt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to certain market risks, primarily from fluctuations in interest rates and foreign currency exchange rates. Our senior management actively monitors these risks.</w:t>
      </w:r>
    </w:p>
    <w:p>
      <w:pPr>
        <w:spacing w:after="0" w:line="9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Additional information about market risks to which we are exposed, including discussion of risks and potential risks of the COVID-19 pandemic on our business, is included within Item 7A of our Annual Report on Form 10-K for the year ended December 31, 2020. There were no significant changes to our quantitative and qualitative analyses about market risk during the nine months ended September 30, 2021.</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September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was no change in internal control over financial reporting that occurred during the three months ended September 30, 2021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Exchange Act) of shares of our common stock during the three months ended September 30,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Total Number of</w:t>
            </w: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40" w:type="dxa"/>
            <w:vAlign w:val="bottom"/>
            <w:gridSpan w:val="3"/>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9"/>
        </w:trPr>
        <w:tc>
          <w:tcPr>
            <w:tcW w:w="3540" w:type="dxa"/>
            <w:vAlign w:val="bottom"/>
            <w:vMerge w:val="continue"/>
          </w:tcPr>
          <w:p>
            <w:pPr>
              <w:spacing w:after="0"/>
              <w:rPr>
                <w:sz w:val="16"/>
                <w:szCs w:val="16"/>
                <w:color w:val="auto"/>
              </w:rPr>
            </w:pPr>
          </w:p>
        </w:tc>
        <w:tc>
          <w:tcPr>
            <w:tcW w:w="2040" w:type="dxa"/>
            <w:vAlign w:val="bottom"/>
            <w:gridSpan w:val="3"/>
          </w:tcPr>
          <w:p>
            <w:pPr>
              <w:ind w:left="300"/>
              <w:spacing w:after="0"/>
              <w:rPr>
                <w:sz w:val="20"/>
                <w:szCs w:val="20"/>
                <w:color w:val="auto"/>
              </w:rPr>
            </w:pPr>
            <w:r>
              <w:rPr>
                <w:rFonts w:ascii="Arial" w:cs="Arial" w:eastAsia="Arial" w:hAnsi="Arial"/>
                <w:sz w:val="14"/>
                <w:szCs w:val="14"/>
                <w:b w:val="1"/>
                <w:bCs w:val="1"/>
                <w:color w:val="auto"/>
              </w:rPr>
              <w:t>Shares Purchased</w:t>
            </w: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9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or Programs </w:t>
            </w:r>
            <w:r>
              <w:rPr>
                <w:rFonts w:ascii="Arial" w:cs="Arial" w:eastAsia="Arial" w:hAnsi="Arial"/>
                <w:sz w:val="18"/>
                <w:szCs w:val="18"/>
                <w:b w:val="1"/>
                <w:bCs w:val="1"/>
                <w:color w:val="auto"/>
                <w:w w:val="90"/>
                <w:vertAlign w:val="superscript"/>
              </w:rPr>
              <w:t>(1)</w:t>
            </w:r>
          </w:p>
        </w:tc>
        <w:tc>
          <w:tcPr>
            <w:tcW w:w="100" w:type="dxa"/>
            <w:vAlign w:val="bottom"/>
          </w:tcPr>
          <w:p>
            <w:pPr>
              <w:spacing w:after="0"/>
              <w:rPr>
                <w:sz w:val="16"/>
                <w:szCs w:val="16"/>
                <w:color w:val="auto"/>
              </w:rPr>
            </w:pPr>
          </w:p>
        </w:tc>
        <w:tc>
          <w:tcPr>
            <w:tcW w:w="20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1-31,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55,488,000</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August 1-31, 2021</w:t>
            </w:r>
          </w:p>
        </w:tc>
        <w:tc>
          <w:tcPr>
            <w:tcW w:w="1700" w:type="dxa"/>
            <w:vAlign w:val="bottom"/>
          </w:tcPr>
          <w:p>
            <w:pPr>
              <w:jc w:val="right"/>
              <w:spacing w:after="0"/>
              <w:rPr>
                <w:sz w:val="20"/>
                <w:szCs w:val="20"/>
                <w:color w:val="auto"/>
              </w:rPr>
            </w:pPr>
            <w:r>
              <w:rPr>
                <w:rFonts w:ascii="Arial" w:cs="Arial" w:eastAsia="Arial" w:hAnsi="Arial"/>
                <w:sz w:val="18"/>
                <w:szCs w:val="18"/>
                <w:color w:val="auto"/>
              </w:rPr>
              <w:t>2,079,400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2,079,400</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53,408,600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1-30, 2021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1,151,300</w:t>
            </w:r>
          </w:p>
        </w:tc>
        <w:tc>
          <w:tcPr>
            <w:tcW w:w="21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52,257,300</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3,230,700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3,230,700</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60" w:hanging="328"/>
        <w:spacing w:after="0" w:line="227"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On November 19, 2020, our board of directors authorized the purchase of up to 60.0 million shares of our common stock. This authorization does not expire.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40" w:type="dxa"/>
            <w:vAlign w:val="bottom"/>
            <w:gridSpan w:val="6"/>
          </w:tcPr>
          <w:p>
            <w:pPr>
              <w:ind w:left="1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3"/>
        </w:trPr>
        <w:tc>
          <w:tcPr>
            <w:tcW w:w="18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180" w:type="dxa"/>
            <w:vAlign w:val="bottom"/>
            <w:gridSpan w:val="8"/>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18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Number</w:t>
            </w:r>
          </w:p>
        </w:tc>
        <w:tc>
          <w:tcPr>
            <w:tcW w:w="918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Arial" w:cs="Arial" w:eastAsia="Arial" w:hAnsi="Arial"/>
                <w:sz w:val="18"/>
                <w:szCs w:val="18"/>
                <w:color w:val="auto"/>
              </w:rPr>
              <w:t>10.1</w:t>
            </w:r>
          </w:p>
        </w:tc>
        <w:tc>
          <w:tcPr>
            <w:tcW w:w="1240" w:type="dxa"/>
            <w:vAlign w:val="bottom"/>
          </w:tcPr>
          <w:p>
            <w:pPr>
              <w:spacing w:after="0"/>
              <w:rPr>
                <w:sz w:val="22"/>
                <w:szCs w:val="22"/>
                <w:color w:val="auto"/>
              </w:rPr>
            </w:pPr>
          </w:p>
        </w:tc>
        <w:tc>
          <w:tcPr>
            <w:tcW w:w="9180" w:type="dxa"/>
            <w:vAlign w:val="bottom"/>
            <w:gridSpan w:val="8"/>
          </w:tcPr>
          <w:p>
            <w:pPr>
              <w:spacing w:after="0"/>
              <w:rPr>
                <w:rFonts w:ascii="Arial" w:cs="Arial" w:eastAsia="Arial" w:hAnsi="Arial"/>
                <w:sz w:val="18"/>
                <w:szCs w:val="18"/>
                <w:color w:val="0000FF"/>
              </w:rPr>
            </w:pPr>
            <w:hyperlink r:id="rId88">
              <w:r>
                <w:rPr>
                  <w:rFonts w:ascii="Arial" w:cs="Arial" w:eastAsia="Arial" w:hAnsi="Arial"/>
                  <w:sz w:val="18"/>
                  <w:szCs w:val="18"/>
                  <w:color w:val="0000FF"/>
                </w:rPr>
                <w:t>Fiserv, Inc. Executive Severance and Change of Control Policy effective August 10, 2021 (1)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3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10.2</w:t>
            </w:r>
          </w:p>
        </w:tc>
        <w:tc>
          <w:tcPr>
            <w:tcW w:w="1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FF"/>
                <w:w w:val="96"/>
              </w:rPr>
            </w:pPr>
            <w:hyperlink r:id="rId89">
              <w:r>
                <w:rPr>
                  <w:rFonts w:ascii="Arial" w:cs="Arial" w:eastAsia="Arial" w:hAnsi="Arial"/>
                  <w:sz w:val="18"/>
                  <w:szCs w:val="18"/>
                  <w:color w:val="0000FF"/>
                  <w:w w:val="96"/>
                </w:rPr>
                <w:t>Termination Agreement and Amendment, dated as of August 10, 2021, between Fiserv, Inc. and Frank J. Bisignano (1)</w:t>
              </w:r>
            </w:hyperlink>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31.1</w:t>
            </w:r>
          </w:p>
        </w:tc>
        <w:tc>
          <w:tcPr>
            <w:tcW w:w="1240" w:type="dxa"/>
            <w:vAlign w:val="bottom"/>
          </w:tcPr>
          <w:p>
            <w:pPr>
              <w:spacing w:after="0"/>
              <w:rPr>
                <w:sz w:val="24"/>
                <w:szCs w:val="24"/>
                <w:color w:val="auto"/>
              </w:rPr>
            </w:pPr>
          </w:p>
        </w:tc>
        <w:tc>
          <w:tcPr>
            <w:tcW w:w="8560" w:type="dxa"/>
            <w:vAlign w:val="bottom"/>
            <w:tcBorders>
              <w:top w:val="single" w:sz="8" w:color="0000FF"/>
            </w:tcBorders>
            <w:gridSpan w:val="6"/>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 of the Chief Executive Officer pursuant to Section 302 of the Sarbanes-Oxley Act of 2002</w:t>
              </w:r>
            </w:hyperlink>
          </w:p>
        </w:tc>
        <w:tc>
          <w:tcPr>
            <w:tcW w:w="6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7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32.1</w:t>
            </w:r>
          </w:p>
        </w:tc>
        <w:tc>
          <w:tcPr>
            <w:tcW w:w="1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Certification of the Chief Executive Officer and Chief Financial Officer pursuant to Section 906 of the Sarbanes-Oxley Act of</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52">
              <w:r>
                <w:rPr>
                  <w:rFonts w:ascii="Arial" w:cs="Arial" w:eastAsia="Arial" w:hAnsi="Arial"/>
                  <w:sz w:val="18"/>
                  <w:szCs w:val="18"/>
                  <w:color w:val="0000FF"/>
                  <w:w w:val="84"/>
                </w:rPr>
                <w:t>2002</w:t>
              </w:r>
            </w:hyperlink>
          </w:p>
        </w:tc>
        <w:tc>
          <w:tcPr>
            <w:tcW w:w="980" w:type="dxa"/>
            <w:vAlign w:val="bottom"/>
            <w:tcBorders>
              <w:top w:val="single" w:sz="8" w:color="0000FF"/>
            </w:tcBorders>
          </w:tcPr>
          <w:p>
            <w:pPr>
              <w:spacing w:after="0"/>
              <w:rPr>
                <w:sz w:val="13"/>
                <w:szCs w:val="13"/>
                <w:color w:val="auto"/>
              </w:rPr>
            </w:pPr>
          </w:p>
        </w:tc>
        <w:tc>
          <w:tcPr>
            <w:tcW w:w="53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9180" w:type="dxa"/>
            <w:vAlign w:val="bottom"/>
            <w:gridSpan w:val="8"/>
          </w:tcPr>
          <w:p>
            <w:pPr>
              <w:spacing w:after="0"/>
              <w:rPr>
                <w:sz w:val="20"/>
                <w:szCs w:val="20"/>
                <w:color w:val="auto"/>
              </w:rPr>
            </w:pPr>
            <w:r>
              <w:rPr>
                <w:rFonts w:ascii="Arial" w:cs="Arial" w:eastAsia="Arial" w:hAnsi="Arial"/>
                <w:sz w:val="18"/>
                <w:szCs w:val="18"/>
                <w:color w:val="auto"/>
                <w:w w:val="91"/>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180" w:type="dxa"/>
            <w:vAlign w:val="bottom"/>
            <w:gridSpan w:val="8"/>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23"/>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91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91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91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91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91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Arial" w:cs="Arial" w:eastAsia="Arial" w:hAnsi="Arial"/>
                <w:sz w:val="18"/>
                <w:szCs w:val="18"/>
                <w:color w:val="auto"/>
              </w:rPr>
              <w:t>104</w:t>
            </w:r>
          </w:p>
        </w:tc>
        <w:tc>
          <w:tcPr>
            <w:tcW w:w="1240" w:type="dxa"/>
            <w:vAlign w:val="bottom"/>
          </w:tcPr>
          <w:p>
            <w:pPr>
              <w:spacing w:after="0"/>
              <w:rPr>
                <w:sz w:val="24"/>
                <w:szCs w:val="24"/>
                <w:color w:val="auto"/>
              </w:rPr>
            </w:pPr>
          </w:p>
        </w:tc>
        <w:tc>
          <w:tcPr>
            <w:tcW w:w="918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Filed with this quarterly report on Form 10-Q are the following documents formatted in iXBRL (Inline Extensible Business Reporting Language):</w:t>
      </w:r>
    </w:p>
    <w:p>
      <w:pPr>
        <w:spacing w:after="0" w:line="20" w:lineRule="exact"/>
        <w:rPr>
          <w:rFonts w:ascii="Arial" w:cs="Arial" w:eastAsia="Arial" w:hAnsi="Arial"/>
          <w:sz w:val="17"/>
          <w:szCs w:val="17"/>
          <w:color w:val="auto"/>
        </w:rPr>
      </w:pPr>
    </w:p>
    <w:p>
      <w:pPr>
        <w:ind w:left="340" w:hanging="8"/>
        <w:spacing w:after="0" w:line="253" w:lineRule="auto"/>
        <w:tabs>
          <w:tab w:leader="none" w:pos="5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Consolidated Statements of Income for the three and nine months ended September 30, 2021 and 2020, (ii) the Consolidated Statements of Comprehensive Income (Loss) for the three and nine months ended September 30, 2021 and 2020, (iii) the Consolidated Balance Sheets at September 30, 2021 and December 31, 2020, (iv) the Consolidated Statements of Cash Flows for the nine months ended September 30, 2021 and 2020, and (v) Notes to Consolidated Financial Statements.</w:t>
      </w:r>
    </w:p>
    <w:p>
      <w:pPr>
        <w:spacing w:after="0" w:line="220"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filed on August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380" w:type="dxa"/>
            <w:vAlign w:val="bottom"/>
            <w:gridSpan w:val="2"/>
          </w:tcPr>
          <w:p>
            <w:pPr>
              <w:ind w:left="1840"/>
              <w:spacing w:after="0"/>
              <w:rPr>
                <w:sz w:val="20"/>
                <w:szCs w:val="20"/>
                <w:color w:val="auto"/>
              </w:rPr>
            </w:pPr>
            <w:r>
              <w:rPr>
                <w:rFonts w:ascii="Arial" w:cs="Arial" w:eastAsia="Arial" w:hAnsi="Arial"/>
                <w:sz w:val="18"/>
                <w:szCs w:val="18"/>
                <w:b w:val="1"/>
                <w:bCs w:val="1"/>
                <w:color w:val="auto"/>
              </w:rPr>
              <w:t>FISERV, INC.</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180"/>
              <w:spacing w:after="0"/>
              <w:rPr>
                <w:sz w:val="20"/>
                <w:szCs w:val="20"/>
                <w:color w:val="auto"/>
              </w:rPr>
            </w:pPr>
            <w:r>
              <w:rPr>
                <w:rFonts w:ascii="Arial" w:cs="Arial" w:eastAsia="Arial" w:hAnsi="Arial"/>
                <w:sz w:val="18"/>
                <w:szCs w:val="18"/>
                <w:color w:val="auto"/>
              </w:rPr>
              <w:t>October 28, 2021</w:t>
            </w: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180"/>
              <w:spacing w:after="0"/>
              <w:rPr>
                <w:sz w:val="20"/>
                <w:szCs w:val="20"/>
                <w:color w:val="auto"/>
              </w:rPr>
            </w:pPr>
            <w:r>
              <w:rPr>
                <w:rFonts w:ascii="Arial" w:cs="Arial" w:eastAsia="Arial" w:hAnsi="Arial"/>
                <w:sz w:val="18"/>
                <w:szCs w:val="18"/>
                <w:color w:val="auto"/>
              </w:rPr>
              <w:t>October 28, 2021</w:t>
            </w: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F. Best</w:t>
            </w:r>
          </w:p>
        </w:tc>
      </w:tr>
      <w:tr>
        <w:trPr>
          <w:trHeight w:val="222"/>
        </w:trPr>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30"/>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220"/>
          </w:cols>
          <w:pgMar w:left="320" w:top="125"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35"/>
          <w:szCs w:val="35"/>
          <w:color w:val="auto"/>
          <w:vertAlign w:val="subscript"/>
        </w:rPr>
        <w:t>October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43180</wp:posOffset>
            </wp:positionV>
            <wp:extent cx="23317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Frank J. Bisignano</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35"/>
          <w:szCs w:val="35"/>
          <w:color w:val="auto"/>
          <w:vertAlign w:val="subscript"/>
        </w:rPr>
        <w:t>October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43180</wp:posOffset>
            </wp:positionV>
            <wp:extent cx="23317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Robert W. Hau</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September 30, 2021 as filed with the Securities and Exchange Commission on the date hereof (the “Report”), Frank J. Bisignano, as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2" w:lineRule="exact"/>
        <w:rPr>
          <w:sz w:val="20"/>
          <w:szCs w:val="20"/>
          <w:color w:val="auto"/>
        </w:rPr>
      </w:pPr>
    </w:p>
    <w:p>
      <w:pPr>
        <w:ind w:left="560" w:hanging="309"/>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60" w:hanging="309"/>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29"/>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October 28, 2021</w:t>
            </w:r>
          </w:p>
        </w:tc>
      </w:tr>
      <w:tr>
        <w:trPr>
          <w:trHeight w:val="608"/>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29"/>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October 28,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lvl w:ilvl="1">
      <w:lvlJc w:val="left"/>
      <w:lvlText w:val="(%2)"/>
      <w:numFmt w:val="lowerRoman"/>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88" Type="http://schemas.openxmlformats.org/officeDocument/2006/relationships/hyperlink" Target="https://www.sec.gov/Archives/edgar/data/798354/000119312521244723/d115852dex101.htm" TargetMode="External"/><Relationship Id="rId89" Type="http://schemas.openxmlformats.org/officeDocument/2006/relationships/hyperlink" Target="https://www.sec.gov/Archives/edgar/data/798354/000119312521244723/d11585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2021-10-28T15:58:35Z</dcterms:created>
  <dcterms:modified xsi:type="dcterms:W3CDTF">2021-10-28T15:58:35Z</dcterms:modified>
</cp:coreProperties>
</file>