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255 Fiserv Drive, Brookfield, WI 53045</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0.375% Senior Notes due 2023</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47" w:lineRule="exact"/>
        <w:rPr>
          <w:sz w:val="24"/>
          <w:szCs w:val="24"/>
          <w:color w:val="auto"/>
        </w:rPr>
      </w:pPr>
    </w:p>
    <w:p>
      <w:pPr>
        <w:ind w:right="120"/>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575310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601345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2022, there were 635,028,076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6460" w:type="dxa"/>
            <w:vAlign w:val="bottom"/>
            <w:gridSpan w:val="7"/>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478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940" w:type="dxa"/>
            <w:vAlign w:val="bottom"/>
            <w:gridSpan w:val="9"/>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80" w:type="dxa"/>
            <w:vAlign w:val="bottom"/>
            <w:gridSpan w:val="11"/>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26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2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3,407</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4,163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(gain) loss on sale of business and other assets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3,527</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42"/>
        </w:trPr>
        <w:tc>
          <w:tcPr>
            <w:tcW w:w="528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Income before income taxes and income (loss) from investments in</w:t>
            </w: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0" w:type="dxa"/>
            <w:vAlign w:val="bottom"/>
          </w:tcPr>
          <w:p>
            <w:pPr>
              <w:spacing w:after="0"/>
              <w:rPr>
                <w:sz w:val="1"/>
                <w:szCs w:val="1"/>
                <w:color w:val="auto"/>
              </w:rPr>
            </w:pPr>
          </w:p>
        </w:tc>
      </w:tr>
      <w:tr>
        <w:trPr>
          <w:trHeight w:val="21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(loss)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162"/>
        </w:trPr>
        <w:tc>
          <w:tcPr>
            <w:tcW w:w="52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 – basic</w:t>
            </w: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 – diluted</w:t>
            </w: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8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661.4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0" w:type="dxa"/>
            <w:vAlign w:val="bottom"/>
          </w:tcPr>
          <w:p>
            <w:pPr>
              <w:spacing w:after="0"/>
              <w:rPr>
                <w:sz w:val="1"/>
                <w:szCs w:val="1"/>
                <w:color w:val="auto"/>
              </w:rPr>
            </w:pPr>
          </w:p>
        </w:tc>
      </w:tr>
      <w:tr>
        <w:trPr>
          <w:trHeight w:val="210"/>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669.7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hanging="328"/>
        <w:spacing w:after="0" w:line="231"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$51 million and $46 million for the three months ended September 30, 2022 and 2021, respectively, and $151 million and $160 million for the nine months ended September 30, 2022 and 2021, respectively (see Note 18).</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90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0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Fair market value adjustment on cash flow hedges, net of income tax benefit (provision) of</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 million, ($1 million), $4 million and ($1 million)</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 hedges included in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cost of processing and services, net of income tax (benefit) provision of ($0 million), $1</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million, $0 million and $2 million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480"/>
              <w:spacing w:after="0" w:line="181" w:lineRule="exact"/>
              <w:rPr>
                <w:sz w:val="20"/>
                <w:szCs w:val="20"/>
                <w:color w:val="auto"/>
              </w:rPr>
            </w:pPr>
            <w:r>
              <w:rPr>
                <w:rFonts w:ascii="Times New Roman" w:cs="Times New Roman" w:eastAsia="Times New Roman" w:hAnsi="Times New Roman"/>
                <w:sz w:val="18"/>
                <w:szCs w:val="18"/>
                <w:color w:val="auto"/>
              </w:rPr>
              <w:t>interest expense, net of income tax benefit of $1 million, $2 million, $4 million and $4</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million</w:t>
            </w: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Unrealized (loss) gain on defined benefit pension plans, net of income tax benefit</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of ($0 million), $0 million, $1 million and ($0 million)</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 of income tax (see Note 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84"/>
        </w:trPr>
        <w:tc>
          <w:tcPr>
            <w:tcW w:w="69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accumulated foreign currency translation impacts from the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sale of a foreign entity included in loss on sale of business, net of income tax benefit of</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 million (see Note 4)</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184"/>
        </w:trPr>
        <w:tc>
          <w:tcPr>
            <w:tcW w:w="69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Fiserv,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8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75,640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76,249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20,729</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44,299</w:t>
            </w: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17)</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14,846</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148 million and 134 million shares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w:t>
            </w:r>
          </w:p>
        </w:tc>
      </w:tr>
      <w:tr>
        <w:trPr>
          <w:trHeight w:val="212"/>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30,952</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75,640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76,249</w:t>
            </w: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Fiserv, Inc.</w:t>
      </w:r>
    </w:p>
    <w:p>
      <w:pPr>
        <w:jc w:val="center"/>
        <w:ind w:right="-39"/>
        <w:spacing w:after="0" w:line="206"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sale of business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 and dispositions: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13"/>
        </w:trPr>
        <w:tc>
          <w:tcPr>
            <w:tcW w:w="7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7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2,691</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 of business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 including debt financing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3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right="120" w:hanging="328"/>
        <w:spacing w:after="0" w:line="230" w:lineRule="auto"/>
        <w:tabs>
          <w:tab w:leader="none" w:pos="62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revised, for comparable purposes with the current period’s presentation, the consolidated statement of cash flows presentation for the nine months ended September 30, 2021 to include cash and cash equivalents within settlement assets as a component of total cash and cash equivalents. Additional information is included in Note 1.</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and nine months ended September 30, 2022 and 2021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 The Company has determined that there have been no material changes to its estimates and assumptions within its consolidated financial statements to date as a result of the continuing impact of the COVID-19 pandemic. The Company will continue to monitor developments related to the COVID-19 pandemic; however, the extent to which the COVID-19 pandemic may impact the Company’s future operational and financial performance remains uncertain and difficult to predict.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7"/>
                <w:szCs w:val="17"/>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311"/>
        </w:trPr>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96"/>
        </w:trPr>
        <w:tc>
          <w:tcPr>
            <w:tcW w:w="20" w:type="dxa"/>
            <w:vAlign w:val="bottom"/>
          </w:tcPr>
          <w:p>
            <w:pPr>
              <w:spacing w:after="0"/>
              <w:rPr>
                <w:sz w:val="17"/>
                <w:szCs w:val="17"/>
                <w:color w:val="auto"/>
              </w:rPr>
            </w:pPr>
          </w:p>
        </w:tc>
        <w:tc>
          <w:tcPr>
            <w:tcW w:w="516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revised the consolidated statement of cash flows for the nine months ended September 30, 2021 to reflect settlement cash and cash equivalents within settlement assets as a component of total cash and cash equivalents on the consolidated statement of cash flows. The changes in settlement cash and cash equivalents for the nine months ended September 30, 2022 and 2021 of $114 million and $386 million, respectively, have been included in settlement activity, net within cash flows from financing activities.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$47 million and $55 million at September 30, 2022 and December 31, 2021,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Settlement assets and obligations result from timing differences between collection and fulfillment of payment transactions and collateral amounts held to manage merchant credit risk, primarily associated with the Company’s merchant acquiring services. Settlement assets represent cash received or amounts receivable from agents, payment networks, bank partners, merchants or directly from consumers. Settlement obligations represent amounts payable to merchants and payees. Certain merchant settlement asset receivables that relate to settlement obligations are held by partner banks to which the Company does not have legal ownership but has the right to use the assets to satisfy the related settlement obligations. The Company records settlement obligations for amounts payable to merchants and for outstanding payment instruments issued to payees that have not yet been presented for settlement.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risk. Collateral held by the Company, or funds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some level of losses due to merchant defaults.</w:t>
      </w:r>
    </w:p>
    <w:p>
      <w:pPr>
        <w:spacing w:after="0" w:line="13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aggregate merchant credit loss expense, recognized by the Company within cost of processing and services in the consolidated statements of income, was $18 million for the three months ended September 30, 2022. The aggregate merchant credit loss expense recognized by the Company was not significant for the three months ended September 30, 2021. The Company recognized aggregate merchant credit loss expense of $46 million and $31 million for the nine months ended September 30, 2022 and 2021, respectively. The amount of collateral available to the Company was $1.9 billion and $2.2 billion at September 30, 2022 and December 31, 2021, respectively. 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Company’s historical experience of credit losses and other relevant factors such as changes in economic conditions or increases in merchant fraud.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merchant credit loss allowance was $32 million and $42 million at September 30, 2022 and December 31, 2021,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2021 determined that its goodwill was not impaired as the estimated fair values exceeded the carrying values. However, it is reasonably possible that future developments related to the interest rate environment, the economic impact of the COVID-19 pandemic, or significant changes in the composition of, or assumptions used in, the quantitative test on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September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maintains investments, of which it does not have significant influence, in various equity securities without a readily determinable fair value. Such investments totaled $141 million and $113 million at September 30, 2022 and December 31, 2021,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income in the consolidated statement of income for the period. During the nine months ended September 30, 2021, the Company remeasured its equity interest in Ondot Systems, Inc. (“Ondot”) to fair value upon acquiring a remaining ownership interest, resulting in the recognition of a pre-tax gain of $12 million (see Note 4). Other adjustments made to the values recorded for certain equity securities and gains and losses from sales of equity securities during the three and nine months ended September 30, 2022 and 2021, were not significant.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are recorded in the foreign currency translation component of other comprehensive loss until the net investment is sold, diluted, or liquidated.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8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8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310"/>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2022, the Financial Accounting Standards Board (“FASB”) issued Accounting Standards Update (“ASU”) No. 2022-03, </w:t>
      </w:r>
      <w:r>
        <w:rPr>
          <w:rFonts w:ascii="Times New Roman" w:cs="Times New Roman" w:eastAsia="Times New Roman" w:hAnsi="Times New Roman"/>
          <w:sz w:val="18"/>
          <w:szCs w:val="18"/>
          <w:i w:val="1"/>
          <w:iCs w:val="1"/>
          <w:color w:val="auto"/>
        </w:rPr>
        <w:t>Fair Value Measurement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 of Equity Securities Subject to Contractual Sale Restrictions </w:t>
      </w:r>
      <w:r>
        <w:rPr>
          <w:rFonts w:ascii="Times New Roman" w:cs="Times New Roman" w:eastAsia="Times New Roman" w:hAnsi="Times New Roman"/>
          <w:sz w:val="18"/>
          <w:szCs w:val="18"/>
          <w:color w:val="auto"/>
        </w:rPr>
        <w:t>(“ASU 2022-03”), which clarifies the guidance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is currently assessing the impact the adoption of ASU 2022-03 will have on its consolidated financial statements and disclosures.</w:t>
      </w:r>
    </w:p>
    <w:p>
      <w:pPr>
        <w:spacing w:after="0" w:line="13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r>
        <w:rPr>
          <w:rFonts w:ascii="Times New Roman" w:cs="Times New Roman" w:eastAsia="Times New Roman" w:hAnsi="Times New Roman"/>
          <w:sz w:val="18"/>
          <w:szCs w:val="18"/>
          <w:color w:val="auto"/>
        </w:rPr>
        <w:t xml:space="preserve"> (“ASU 2022-02”), which among other items, requires that entities disclose current period gross write-offs by year of origination for financing receivables and net investments in leases. For public entities, the provisions within ASU 2022-02 are to be applied prospectively and are effective for fiscal years beginning after December 15, 2022, including interim periods within those fiscal years. The Company will adopt the additional disclosures, as applicable, for any write-offs reflected in its consolidated financial statements effective for the year ending December 31, 2023.</w:t>
      </w:r>
    </w:p>
    <w:p>
      <w:pPr>
        <w:spacing w:after="0" w:line="129"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2021, the FASB issued ASU No. 2021-10,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(“ASU 2021-10”), which requires that an entity provide certain disclosures in its annual financial statements about transactions with a government that are accounted for by applying a grant or contribution accounting model by analogy. ASU 2021-10 is effective for all business entities for annual periods beginning after December 15, 2021 and may be applied either prospectively or retrospectively to the transactions reflected in the financial statements at the date of initial application. The Company will adopt the additional disclosures prospectively, as applicable, to the transactions reflected in its consolidated financial statements for the year ending December 31, 2022.</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2021, the FASB issued ASU No.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xml:space="preserve"> (“ASU 2021-08”), which requires that an entity recognize and measure contract assets and contract liabilities acquired in a business combination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Generally, this should result in recognition and measurement of contract assets and contract liabilities at carryover value consistent with how they were recognized and measured in the acquiree’s financial statements, providing consistent recognition and enhanced comparability with revenue contracts with customers not acquired in a business combination. Prior to adoption of ASU 2021-08, an acquirer generally recognized contract assets and contract liabilities acquired in a business combination at fair value on the acquisition date. For public entities, ASU 2021-08 is effective for fiscal years beginning after December 15, 2022, including interim periods within those fiscal years. Early adoption is permitted, including adoption in an interim period. Entities are required to apply a prospective transition approach upon adoption, unless early adoption occurs in an interim period. The Company adopted ASU 2021-08 effective January 1, 2022, with prospective application to business combinations occurring after adoption.</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xml:space="preserve"> (“ASU 2021-05”), which amends the lease classification requirements for lessors with certain leases containing variable payments. A lessor is to classify and account for a lease with variable lease payments that do not depend on an index or a rate as an operating lease if the lease would have been classified as a sales-type lease or a direct financing lease and the lessor would have otherwise recognized a day-one loss. For public entities, ASU 2021-05 is effective for fiscal years beginning after December 15, 2021, including interim periods within those fiscal years, with early adoption permitted. Entities that have adopted ASC Topic 842 prior to the issuance of ASU 2021-05 may apply this update either retrospectively to leases that commenced or were modified on or after the adoption of ASC Topic 842 or prospectively to leases that commence or are modified on or after the date the entity first applies ASU 2021-05. The Company adopted ASU 2021-05 effective January 1, 2022, with prospective application to leases commencing or modified thereafter, and the adoption did not have a material impact on its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U.S. comprising approximately 14% of total revenue for each of the three months ended September 30, 2022 and 2021, and the nine months ended September 30, 2022 and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80" w:type="dxa"/>
            <w:vAlign w:val="bottom"/>
          </w:tcPr>
          <w:p>
            <w:pPr>
              <w:spacing w:after="0"/>
              <w:rPr>
                <w:sz w:val="13"/>
                <w:szCs w:val="13"/>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80" w:type="dxa"/>
            <w:vAlign w:val="bottom"/>
          </w:tcPr>
          <w:p>
            <w:pPr>
              <w:spacing w:after="0"/>
              <w:rPr>
                <w:sz w:val="13"/>
                <w:szCs w:val="13"/>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bl>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$499 million of revenue during the nine months ended September 30, 2022 that was included in the contract liability balance at the beginning of the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services and product revenue expected to be recognized in the future related to performance obligations that were unsatisfied (or partially unsatisfied) at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bl>
    <w:p>
      <w:pPr>
        <w:spacing w:after="0" w:line="2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73"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assets acquired and liabilities assumed based on the estimated fair values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Finxact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 2022, the Company acquired a remaining ownership interest in Finxact, Inc. (“Finxact”), a developer of cloud-native banking solutions powering digital transformation throughout the financial services sector, for approximately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approximately $110 million, included within income (loss) from investments in unconsolidated affiliates during the nine months ended September 30, 2022. Finxact is included within the Fintech segment and advances the Company’s digital banking strategy, expanding its account processing, digital, and payments solutions.</w:t>
      </w:r>
    </w:p>
    <w:p>
      <w:pPr>
        <w:spacing w:after="0" w:line="1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identified and recorded measurement period adjustments to the preliminary Finxact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 decrease of goodwill of approximately $3 million, with offsetting amounts to the change in goodwill primarily attributable to an increase in identifiable intangible assets, including acquired software and technology. Such measurement period adjustments did not have a material impact on the Company’s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purchase price for Finxact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Identifiable intangible assets consist primarily of acquired software and technology, with a weighted average useful life of six years. The allocation of the purchase price is preliminary and is subject to further adjustment, pending additional refinement and final completion of valuations. Goodwill, not expected to be deductible for tax purposes, is primarily attributed to the anticipated value created by the combined scale, core platform modernization, and accelerated delivery of enhanced digital banking solutions offered to financial institutions of all sizes.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results of operations for Finxact are included in the consolidated results of the Company from the date of acquisition. Pro forma information for this acquisition is not provided because it did not have a material effect on the Company’s consolidated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BentoBox</w:t>
      </w:r>
    </w:p>
    <w:p>
      <w:pPr>
        <w:spacing w:after="0" w:line="17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On November 22, 2021, the Company acquired BentoBox CMS, Inc. (“BentoBox”), a digital marketing and commerce platform that helps restaurants connect with their guests, for $317 million, net of $24 million of acquired cash. BentoBox is included within the Acceptance segment, and further expands the Company’s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dining solutions and commerce and business management capabilities.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2022, the Company identified and recorded measurement period adjustments to the preliminary BentoBox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$62 million, with offsetting amounts to the change in goodwill attributable to a decrease in identifiable intangible assets, including acquired software and technology, of $84 million and deferred tax adjustments of $22 million. Such measurement period adjustments did not have a material impact on the Company’s consolidated statements of income. The allocation of purchase price was finalized in the second quarter of 2022 and resulted in the recognition of identifiable intangible assets of $52 million, goodwill of $266 million and other net assets of $23 million. Goodwill, which is not deductible for tax purposes, is primarily attributed to the anticipated value created by the enhanced strength of the Company’s omnichannel platform to drive increased operational efficiencies for restaurants, enabling operators to deliver seamless and distinct hospitality experiences for their diners.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were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results of operations for BentoBox are included in the consolidated results of the Company from the date of acquisition. Pro forma information for this acquisition is not provided because it did not have a material effect on the Company’s consolidated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Pineapple Payments</w:t>
      </w:r>
    </w:p>
    <w:p>
      <w:pPr>
        <w:spacing w:after="0" w:line="173"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On May 4, 2021, the Company acquired Pineapple Payments Holdings, LLC (“Pineapple Payments”), an independent sales organization that provides payment processing, proprietary technology, and payment acceptance solutions for merchants, for $207 million, net of $6 million of acquired cash, and including earn-out provisions estimated at a fair value of $30 million. Pineapple Payments is included within the Acceptance segment, and expands the reach of the Company’s payment solutions through its technology- and relationship-led distribution channels.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allocation of purchase price was finalized in the fourth quarter of 2021 and resulted in the recognition of identifiable intangible assets of $127 million, goodwill of $79 million and other net assets of $7 million. Goodwill, of which $59 million is deductible for tax purposes, is primarily attributed to the anticipated value created by the accelerated delivery of new and innovative capabilities to merchant clients.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were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0"/>
        <w:spacing w:after="0" w:line="312" w:lineRule="auto"/>
        <w:rPr>
          <w:sz w:val="20"/>
          <w:szCs w:val="20"/>
          <w:color w:val="auto"/>
        </w:rPr>
      </w:pPr>
      <w:r>
        <w:rPr>
          <w:rFonts w:ascii="Times New Roman" w:cs="Times New Roman" w:eastAsia="Times New Roman" w:hAnsi="Times New Roman"/>
          <w:sz w:val="17"/>
          <w:szCs w:val="17"/>
          <w:color w:val="auto"/>
        </w:rPr>
        <w:t>The results of operations for Pineapple Payments are included in the consolidated results of the Company from the date of acquisition. Pro forma information for this acquisition is not provided because it did not have a material effect on the Company’s consolidated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Ondot</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22, 2021, the Company acquired a remaining ownership interest in Ondot, a digital experience platform provider for financial institutions, for $271 million, net of $13 million of acquired cash and cash equivalents.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(expense) income in the consolidated statement of income during the nine months ended September 30,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2021. Ondot is included within the Payments segment and further expands the Company’s digital capabilities, enhancing its suite of integrated payments, banking and merchant solutions.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Ondot was finalized in the third quarter of 2021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Goodwill, not deductible for tax purposes, is primarily attributed to the anticipated value created by the combined scale of integrated digital solutions to consumers, merchants, acquirers, networks and card issuers. The amounts allocated to identifiable intangible assets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On September 1, 2022, the Company acquired NexTable, Inc. (“NexTable”), a provider of cloud-based reservation and table management solutions for restaurants. NexTable is included within the Acceptance segment and expands the Company’s end-to-end restaurant solutions. On June 1, 2022, the Company acquired The LR2 Group, LLC (“City POS”), an independent sales organization that promotes payment processing services and facilitates the sale of point-of-sale equipment for merchants. City POS is included within the Acceptance segment and expands the reach of the Company’s merchant services business. The Company acquired these businesses for an aggregate purchase price of approximately $41 million, including earn-out provisions estimated at a fair value of approximately $6 million (see Note 7). The allocation of purchase price for these acquisitions resulted in the recognition of identifiable intangible assets of approximately $20 million, goodwill of approximately $22 million and other net assumed liabilities of approximately</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 million. The allocation of purchase price for the CityPOS acquisition was finalized in the third quarter of 2022. Measurement period adjustments did not have a material impact on the consolidated statements of income. The allocation of purchase price for the NexTable acquisition is preliminary and subject to further adjustment, pending additional refinement and final completion of valuations. Goodwill, of which approximately $17 million is expected to be deductible for tax purposes, is primarily attributed to the </w:t>
      </w:r>
      <w:r>
        <w:rPr>
          <w:rFonts w:ascii="Times New Roman" w:cs="Times New Roman" w:eastAsia="Times New Roman" w:hAnsi="Times New Roman"/>
          <w:sz w:val="18"/>
          <w:szCs w:val="18"/>
          <w:color w:val="242424"/>
        </w:rPr>
        <w:t>value created by further expanding the reach of the Company’s payment solutions and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enhanced omnichannel capabilities.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2022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these acquired businesses are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November 15, 2021, the Company acquired a remaining ownership interest in NetPay Solutions Group (“NetPay”), a multi-channel payment service provider offering a range of capabilities around onboarding, customer lifecycle, risk management and settlement to businesses of all sizes. The Company previously held a noncontrolling interest in NetPay, which was accounted for under the equity method and approximated acquisition-date fair value. NetPay is included within the Acceptance segment and further expands the Company’s merchant services business. On October 1, 2021, the Company acquired Integrity Payments, LLC (“AIP”), an independent sales organization that promotes payment processing services for merchants, which is included within the Acceptance segment. On June 14, 2021, the Company acquired Spend Labs Inc. (“SpendLabs”), a mobile-native, cloud-based software provider of commercial card payment solutions. SpendLabs is included within the Payments segment and further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$87 million, net of the fair value of the Company’s previously held noncontrolling interest in NetPay of $14 million and including earn-out provisions estimated at a fair value of $4 million (see Note 7). The allocation of purchase price for these acquisitions resulted in the recognition of identifiable intangible assets totaling $47 million, goodwill of $61 million and net assumed liabilities of $7 million. The purchase price allocation for the Radius8 acquisition was finalized in the third quarter of 2021 and for SpendLabs in the fourth quarter of 2021. The purchase price allocations for the NetPay and AIP acquisitions were finalized in the first quarter of 2022. Measurement period adjustments did not have a material impact on the consolidated statements of income. Goodwill, of which $14 million is deductible for tax purposes, is primarily attributed to </w:t>
      </w:r>
      <w:r>
        <w:rPr>
          <w:rFonts w:ascii="Times New Roman" w:cs="Times New Roman" w:eastAsia="Times New Roman" w:hAnsi="Times New Roman"/>
          <w:sz w:val="18"/>
          <w:szCs w:val="18"/>
          <w:color w:val="242424"/>
        </w:rPr>
        <w:t>synergies, the anticipated value created by advancing digital capabilities to the Company’s clients, and selling the Company’s products and services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the acquired businesses’ existing client base</w:t>
      </w:r>
      <w:r>
        <w:rPr>
          <w:rFonts w:ascii="Times New Roman" w:cs="Times New Roman" w:eastAsia="Times New Roman" w:hAnsi="Times New Roman"/>
          <w:sz w:val="18"/>
          <w:szCs w:val="18"/>
          <w:color w:val="000000"/>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2021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these acquired businesses have been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sold its Korea operations, which were reported within the Acceptance segment, for $50 million, consisting of $43 million in net cash and an equity interest in the buyer of $7 million. The Company recognized a pre-tax loss of $120 million on the sale, recorded within net (gain) loss on sale of business and other assets in the consolidated statements of income. The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17, 2022, the Company sold Fiserv Costa Rica, S.A. and its Systems Integration Services operations, which provides information technology engineering services in the U.S. and India, to a single buyer. As part of the agreement, the buyer will provide ongoing services and support to the Company. The transaction is not expected to have a material impact on the Company’s consolidated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0"/>
                <w:szCs w:val="10"/>
                <w:color w:val="auto"/>
              </w:rPr>
            </w:pPr>
          </w:p>
        </w:tc>
        <w:tc>
          <w:tcPr>
            <w:tcW w:w="1540" w:type="dxa"/>
            <w:vAlign w:val="bottom"/>
            <w:gridSpan w:val="2"/>
            <w:vMerge w:val="restart"/>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0"/>
                <w:szCs w:val="10"/>
                <w:color w:val="auto"/>
              </w:rPr>
            </w:pPr>
          </w:p>
        </w:tc>
        <w:tc>
          <w:tcPr>
            <w:tcW w:w="1380" w:type="dxa"/>
            <w:vAlign w:val="bottom"/>
            <w:vMerge w:val="restart"/>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Borders>
              <w:bottom w:val="single" w:sz="8" w:color="auto"/>
            </w:tcBorders>
            <w:gridSpan w:val="2"/>
            <w:vMerge w:val="continue"/>
          </w:tcPr>
          <w:p>
            <w:pPr>
              <w:spacing w:after="0"/>
              <w:rPr>
                <w:sz w:val="10"/>
                <w:szCs w:val="10"/>
                <w:color w:val="auto"/>
              </w:rPr>
            </w:pPr>
          </w:p>
        </w:tc>
        <w:tc>
          <w:tcPr>
            <w:tcW w:w="5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0"/>
                <w:szCs w:val="10"/>
                <w:color w:val="auto"/>
              </w:rPr>
            </w:pPr>
          </w:p>
        </w:tc>
        <w:tc>
          <w:tcPr>
            <w:tcW w:w="1540" w:type="dxa"/>
            <w:vAlign w:val="bottom"/>
            <w:gridSpan w:val="2"/>
            <w:vMerge w:val="restart"/>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0"/>
                <w:szCs w:val="10"/>
                <w:color w:val="auto"/>
              </w:rPr>
            </w:pPr>
          </w:p>
        </w:tc>
        <w:tc>
          <w:tcPr>
            <w:tcW w:w="1380" w:type="dxa"/>
            <w:vAlign w:val="bottom"/>
            <w:vMerge w:val="restart"/>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6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defi SOLUTIONS Group, LLC and Sagent M&amp;C, LLC (collectively the “Lending Joint Ventures”), respectively, which are accounted for under the equity method. In March 2022, Sagent M&amp;C, LLC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pre-tax gain of $80 million within income (loss) from investments in unconsolidated affiliates, with related tax expense of $19 million recorded through the income tax provision, in the consolidated statement of income during the nine months ended September 30, 2022. The Company’s remaining noncontrolling ownership interest in Sagent continues to be accounted for as an equity method investment.</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Lending Joint Ventures maintain, as amended in April 2022, variable-rate term loan facilities with aggregate outstanding borrowings of $437 million in senior unsecured debt at September 30, 2022 and variable-rate revolving credit facilities with an aggregate borrowing capacity of $83 million with a syndicate of banks, which mature in April 2027. There were no outstanding borrowings on the revolving credit facilities at September 30, 2022. The Company has guaranteed this amended debt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Lending Joint Ventures and does not anticipate that the Lending Joint Ventures will fail to fulfill their debt obligations. See Note 7 for additional information.</w:t>
      </w:r>
    </w:p>
    <w:p>
      <w:pPr>
        <w:spacing w:after="0" w:line="10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The Company previously maintained a noncontrolling interest in Tegra118, LLC (“Tegra118”) which was accounted for under the equity method. In February 2021, Tegra118 completed a merger with a third party, resulting in a dilution of 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(loss) from investments in unconsolidated affiliates, with related tax expense of $6 million recorded through the income tax provision, in the consolidated statement of income during the nine months ended September 30, 2021. On June 30, 2021, the Company sold its remaining equity method ownership interest in InvestCloud for $466 million, resulting in a pre-tax gain of $33 million recorded within income (loss) from investments in unconsolidated affiliates in the consolidated statements of income, with related tax expense of $8 million recorded through the income tax provision, during the nine months ended September 30, 2021. The Company continues to provide various technical and data center related services under the terms of a pre-existing transition services agreement with InvestCloud.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settlement assets and obligations, accounts payable, and client deposits approximate their respective carrying values due to the short period of time to maturity. The Company maintains forward exchange contracts, designated as cash flow hedges, to hedge foreign currency exposure. The Company also maintains cross-currency rate swap contracts, designated as net investment hedges, to hedge a portion of its net investment in certain subsidiaries whose functional currencies are the Euro. These derivative instruments are measured on a recurring basis based on foreign currency spot rates and forwards quoted by banks and foreign currency dealers and are marked to market each period (see Note 12). Contingent consideration related to certain of the 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60" w:type="dxa"/>
            <w:vAlign w:val="bottom"/>
          </w:tcPr>
          <w:p>
            <w:pPr>
              <w:jc w:val="center"/>
              <w:ind w:left="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5"/>
                <w:szCs w:val="15"/>
                <w:color w:val="auto"/>
              </w:rPr>
            </w:pPr>
          </w:p>
        </w:tc>
        <w:tc>
          <w:tcPr>
            <w:tcW w:w="1460" w:type="dxa"/>
            <w:vAlign w:val="bottom"/>
            <w:gridSpan w:val="2"/>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5"/>
                <w:szCs w:val="15"/>
                <w:color w:val="auto"/>
              </w:rPr>
            </w:pPr>
          </w:p>
        </w:tc>
        <w:tc>
          <w:tcPr>
            <w:tcW w:w="1360" w:type="dxa"/>
            <w:vAlign w:val="bottom"/>
          </w:tcPr>
          <w:p>
            <w:pPr>
              <w:jc w:val="right"/>
              <w:ind w:right="150"/>
              <w:spacing w:after="0" w:line="17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0" w:type="dxa"/>
            <w:vAlign w:val="bottom"/>
            <w:vMerge w:val="continue"/>
          </w:tcPr>
          <w:p>
            <w:pPr>
              <w:spacing w:after="0"/>
              <w:rPr>
                <w:sz w:val="17"/>
                <w:szCs w:val="17"/>
                <w:color w:val="auto"/>
              </w:rPr>
            </w:pPr>
          </w:p>
        </w:tc>
        <w:tc>
          <w:tcPr>
            <w:tcW w:w="14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17"/>
                <w:szCs w:val="17"/>
                <w:color w:val="auto"/>
              </w:rPr>
            </w:pPr>
          </w:p>
        </w:tc>
        <w:tc>
          <w:tcPr>
            <w:tcW w:w="1380" w:type="dxa"/>
            <w:vAlign w:val="bottom"/>
          </w:tcPr>
          <w:p>
            <w:pPr>
              <w:jc w:val="right"/>
              <w:ind w:right="51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cash flow hedges</w:t>
            </w: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4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0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4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cash flow hedges</w:t>
            </w: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cash flow hedges</w:t>
            </w: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term loan credit agreement, commercial paper notes and revolving credit facility borrowings approximates fair value as these instruments have variable interest rates and the Company has not experienced any change to its credit ratings (Level 2 of the fair value hierarchy).</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estimated fair value of total debt, excluding finance leases and other financing obligations, was $18.8 billion and $21.8 billion at September 30, 2022 and December 31, 2021, respectively, and the carrying value was $20.5 billion and $20.4 billion at September 30, 2022 and December 31, 2021, respectively.</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(see Note 6), which are reported within accounts payable and accrued expenses, and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aggregate guarantees of $520 million and a pre-tax expense of $62 million, recorded within other (expense) income in the consolidated statement of income and within other operating activities in the consolidated statement of cash flows, during the nine months ended September 30, 2022 related to such debt guarantee obligations.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$43 million and $10 million approximates the fair value at September 30, 2022 and December 31, 2021,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$2 million and $3 million during the three months ended September 30, 2022 and 2021, respectively, and $8 million and $9 million during the nine months ended September 30, 2022 and 2021, respectively, within other (expense) income in its consolidated statements of income related to its release from risk under the non-contingent guarantees as well as a change in the provision of estimated credit losses associated with the indebtedness of the joint ventures.</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952"/>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October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2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September 30, 2022, the 0.375% Euro-denominated senior notes due in July 2023 were classified in the consolidated balance sheet as long-term, as the Company has the intent to refinance this debt on a long-term basis and the ability to do so under its revolving credit facility.</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July 2022, the Company redeemed $700 million in aggregate principal amount of its outstanding 3.50% senior notes due in October 2022 at a redemption price equal to 100% of the aggregate principal amount of the notes being redeemed, plus accrued and unpaid interest. The Company financed the redemption of these notes using proceeds from the issuance of U.S. dollar commercial paper. The Company also repaid $485 million, representing all amounts outstanding on its receivable securitized loan, in July 2022 using proceeds from the issuance of U.S. dollar commercial paper and terminated the underlying receivables financing agreement.</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new senior unsecured multicurrency revolving credit facility with substantially the same syndicate of banks that were lenders under its existing amended and restated revolving credit facility, which the Company voluntarily terminated and replaced. The new credit agreement matures in June 2027 and provides for a maximum aggregate principal amount of availability of $6.0 billion. Borrowings under the new credit facility bear interest at a variable rate based on a Secured Overnight Financing Rate (“SOFR”), or a base rate in the case of U.S. dollar borrowings, in each case, plus a specified margin based on the Company’s long-term debt rating in effect from time to time (4.23% at September 30, 2022). The credit facility also requires the Company to pay a facility fee based on the aggregate commitments in effect under the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new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(“EBITDA”) during the period of four fiscal quarters then ended, subject to certain exceptions. The Company was in compliance with all financial debt covenants during the first nine months of 2022.</w:t>
      </w:r>
    </w:p>
    <w:p>
      <w:pPr>
        <w:spacing w:after="0" w:line="12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$2.6 billion and $916 million at September 30, 2022 and December 31, 2021, respectively, with weighted average interest rates of 3.369% and 0.295%, respectively. Outstanding borrowings under the Euro program were $1.1 billion and $905 million at September 30, 2022 and December 31, 2021, respectively, with weighted average interest rates of 0.804% and (0.420)%, respectively. The Company intends to maintain available capacity under its revolving credit facility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Noncontrolling Interests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maintains a redeemable noncontrolling interest which is presented outside of equity and carried at its estimated redemption value. The minority partner owns 1% of the equity in the joint venture; in addition, the minority partner is entitled to a contractually determined share of the entity’s income. The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Effective March 2, 2022, the Company and a joint venture minority partner mutually terminated one of the Company’s merchant alliance joint ventures in which the minority partner held a redeemable noncontrolling interest. In conjunction with this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$147 million within net (gain) loss on sale of business and other assets, with related tax expense of $9 million recorded through the income tax provision, in the consolidated statement of income during the nine months ended September 30,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interests activity during the nine months ended September 30: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Derecognition of redeemable noncontrolling interest</w:t>
            </w:r>
          </w:p>
        </w:tc>
        <w:tc>
          <w:tcPr>
            <w:tcW w:w="23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and nine months ended September 30,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 w:right="76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right="640"/>
        <w:spacing w:after="0" w:line="283" w:lineRule="auto"/>
        <w:rPr>
          <w:sz w:val="20"/>
          <w:szCs w:val="20"/>
          <w:color w:val="auto"/>
        </w:rPr>
      </w:pPr>
      <w:r>
        <w:rPr>
          <w:rFonts w:ascii="Times New Roman" w:cs="Times New Roman" w:eastAsia="Times New Roman" w:hAnsi="Times New Roman"/>
          <w:sz w:val="14"/>
          <w:szCs w:val="14"/>
          <w:color w:val="auto"/>
        </w:rPr>
        <w:t xml:space="preserve">Balance at June 30, 2022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8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20" w:right="260"/>
        <w:spacing w:after="0" w:line="311" w:lineRule="auto"/>
        <w:rPr>
          <w:sz w:val="20"/>
          <w:szCs w:val="20"/>
          <w:color w:val="auto"/>
        </w:rPr>
      </w:pPr>
      <w:r>
        <w:rPr>
          <w:rFonts w:ascii="Times New Roman" w:cs="Times New Roman" w:eastAsia="Times New Roman" w:hAnsi="Times New Roman"/>
          <w:sz w:val="14"/>
          <w:szCs w:val="14"/>
          <w:color w:val="auto"/>
        </w:rPr>
        <w:t>Other comprehensive loss Share-based compensation Shares issued under stock plans Purchases of treasury stock Balance at September 30, 2022</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7"/>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31,809</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30,982</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-1165225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-899795</wp:posOffset>
            </wp:positionV>
            <wp:extent cx="71323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-556895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-299720</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100" w:space="280"/>
            <w:col w:w="8860"/>
          </w:cols>
          <w:pgMar w:left="320" w:top="121" w:right="339" w:bottom="1440" w:gutter="0" w:footer="0" w:header="0"/>
          <w:type w:val="continuous"/>
        </w:sectPr>
      </w:pPr>
    </w:p>
    <w:p>
      <w:pPr>
        <w:ind w:left="660" w:right="280" w:hanging="328"/>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September 30, 2022 is different than the amount presented in the consolidated statement of income due to the net income attributable to redeemable noncontrolling interests of $7 million not included in equity.</w:t>
      </w:r>
    </w:p>
    <w:p>
      <w:pPr>
        <w:spacing w:after="0" w:line="100" w:lineRule="exact"/>
        <w:rPr>
          <w:rFonts w:ascii="Times New Roman" w:cs="Times New Roman" w:eastAsia="Times New Roman" w:hAnsi="Times New Roman"/>
          <w:sz w:val="21"/>
          <w:szCs w:val="21"/>
          <w:color w:val="auto"/>
          <w:vertAlign w:val="superscript"/>
        </w:rPr>
      </w:pPr>
    </w:p>
    <w:p>
      <w:pPr>
        <w:ind w:left="660" w:right="180" w:hanging="328"/>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September 30, 2022 excludes $7 million in distributions paid to redeemable noncontrolling interests not included in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7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48"/>
              <w:spacing w:after="0" w:line="14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18"/>
                <w:szCs w:val="18"/>
                <w:color w:val="auto"/>
                <w:vertAlign w:val="superscript"/>
              </w:rPr>
              <w:t>(2)</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80" w:hanging="328"/>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September 30, 2021 is different than the amount presented in the consolidated statement of income due to the net income attributable to redeemable noncontrolling interests of $11 million not included in equity.</w:t>
      </w:r>
    </w:p>
    <w:p>
      <w:pPr>
        <w:spacing w:after="0" w:line="87" w:lineRule="exact"/>
        <w:rPr>
          <w:rFonts w:ascii="Times New Roman" w:cs="Times New Roman" w:eastAsia="Times New Roman" w:hAnsi="Times New Roman"/>
          <w:sz w:val="21"/>
          <w:szCs w:val="21"/>
          <w:color w:val="auto"/>
          <w:vertAlign w:val="superscript"/>
        </w:rPr>
      </w:pPr>
    </w:p>
    <w:p>
      <w:pPr>
        <w:ind w:left="660" w:right="80" w:hanging="328"/>
        <w:spacing w:after="0" w:line="237"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September 30, 2021 excludes $12 million in distributions paid to redeemable noncontrolling interests and $8 million in distributions to Bank of America (“BANA”) related to the dissolution of the Company’s Banc of America Merchant Services joint venture (“BAMS”) not included in equity.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180" w:hanging="161"/>
        <w:spacing w:after="0" w:line="23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jc w:val="right"/>
        <w:ind w:left="20" w:right="600"/>
        <w:spacing w:after="0" w:line="261" w:lineRule="auto"/>
        <w:rPr>
          <w:sz w:val="20"/>
          <w:szCs w:val="20"/>
          <w:color w:val="auto"/>
        </w:rPr>
      </w:pPr>
      <w:r>
        <w:rPr>
          <w:rFonts w:ascii="Times New Roman" w:cs="Times New Roman" w:eastAsia="Times New Roman" w:hAnsi="Times New Roman"/>
          <w:sz w:val="14"/>
          <w:szCs w:val="14"/>
          <w:color w:val="auto"/>
        </w:rPr>
        <w:t>Capital contribution from noncontrolling interest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31,672</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91"/>
        </w:trPr>
        <w:tc>
          <w:tcPr>
            <w:tcW w:w="8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22,959</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30,982</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-513715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80"/>
            <w:col w:w="8860"/>
          </w:cols>
          <w:pgMar w:left="320" w:top="121" w:right="339" w:bottom="1440" w:gutter="0" w:footer="0" w:header="0"/>
        </w:sectPr>
      </w:pPr>
    </w:p>
    <w:p>
      <w:pPr>
        <w:spacing w:after="0" w:line="70" w:lineRule="exact"/>
        <w:rPr>
          <w:sz w:val="20"/>
          <w:szCs w:val="20"/>
          <w:color w:val="auto"/>
        </w:rPr>
      </w:pPr>
    </w:p>
    <w:p>
      <w:pPr>
        <w:ind w:left="660" w:right="32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nine months ended September 30, 2022 is different than the amount presented in the consolidated statement of income due to the net income attributable to redeemable noncontrolling interests of $22 million not included in equity.</w:t>
      </w:r>
    </w:p>
    <w:p>
      <w:pPr>
        <w:spacing w:after="0" w:line="100" w:lineRule="exact"/>
        <w:rPr>
          <w:rFonts w:ascii="Times New Roman" w:cs="Times New Roman" w:eastAsia="Times New Roman" w:hAnsi="Times New Roman"/>
          <w:sz w:val="21"/>
          <w:szCs w:val="21"/>
          <w:color w:val="auto"/>
          <w:vertAlign w:val="superscript"/>
        </w:rPr>
      </w:pPr>
    </w:p>
    <w:p>
      <w:pPr>
        <w:ind w:left="660" w:right="14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nine months ended September 30, 2022 excludes $28 million in distributions paid to redeemable noncontrolling interests not included in equity.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right="440"/>
        <w:spacing w:after="0" w:line="283" w:lineRule="auto"/>
        <w:rPr>
          <w:sz w:val="20"/>
          <w:szCs w:val="20"/>
          <w:color w:val="auto"/>
        </w:rPr>
      </w:pPr>
      <w:r>
        <w:rPr>
          <w:rFonts w:ascii="Times New Roman" w:cs="Times New Roman" w:eastAsia="Times New Roman" w:hAnsi="Times New Roman"/>
          <w:sz w:val="14"/>
          <w:szCs w:val="14"/>
          <w:color w:val="auto"/>
        </w:rPr>
        <w:t xml:space="preserve">Balance at December 31, 2020 Net Income </w:t>
      </w:r>
      <w:r>
        <w:rPr>
          <w:rFonts w:ascii="Times New Roman" w:cs="Times New Roman" w:eastAsia="Times New Roman" w:hAnsi="Times New Roman"/>
          <w:sz w:val="18"/>
          <w:szCs w:val="18"/>
          <w:color w:val="auto"/>
          <w:vertAlign w:val="superscript"/>
        </w:rPr>
        <w:t>(1)</w:t>
      </w:r>
    </w:p>
    <w:p>
      <w:pPr>
        <w:spacing w:after="0" w:line="1" w:lineRule="exact"/>
        <w:rPr>
          <w:sz w:val="20"/>
          <w:szCs w:val="20"/>
          <w:color w:val="auto"/>
        </w:rPr>
      </w:pPr>
    </w:p>
    <w:p>
      <w:pPr>
        <w:ind w:left="180" w:right="140" w:hanging="161"/>
        <w:spacing w:after="0" w:line="22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ind w:left="2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p>
      <w:pPr>
        <w:spacing w:after="0" w:line="42" w:lineRule="exact"/>
        <w:rPr>
          <w:sz w:val="20"/>
          <w:szCs w:val="20"/>
          <w:color w:val="auto"/>
        </w:rPr>
      </w:pPr>
    </w:p>
    <w:p>
      <w:pPr>
        <w:ind w:left="180" w:hanging="161"/>
        <w:spacing w:after="0" w:line="241" w:lineRule="auto"/>
        <w:rPr>
          <w:sz w:val="20"/>
          <w:szCs w:val="20"/>
          <w:color w:val="auto"/>
        </w:rPr>
      </w:pPr>
      <w:r>
        <w:rPr>
          <w:rFonts w:ascii="Times New Roman" w:cs="Times New Roman" w:eastAsia="Times New Roman" w:hAnsi="Times New Roman"/>
          <w:sz w:val="14"/>
          <w:szCs w:val="14"/>
          <w:color w:val="auto"/>
        </w:rPr>
        <w:t>Retirement of treasury stock (see Note 18)</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33,070</w:t>
            </w: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0" w:type="dxa"/>
            <w:vAlign w:val="bottom"/>
          </w:tcPr>
          <w:p>
            <w:pPr>
              <w:spacing w:after="0"/>
              <w:rPr>
                <w:sz w:val="1"/>
                <w:szCs w:val="1"/>
                <w:color w:val="auto"/>
              </w:rPr>
            </w:pPr>
          </w:p>
        </w:tc>
      </w:tr>
      <w:tr>
        <w:trPr>
          <w:trHeight w:val="270"/>
        </w:trPr>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1"/>
        </w:trPr>
        <w:tc>
          <w:tcPr>
            <w:tcW w:w="9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32,324</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-513715</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140"/>
            <w:col w:w="8860"/>
          </w:cols>
          <w:pgMar w:left="320" w:top="121" w:right="339" w:bottom="1440" w:gutter="0" w:footer="0" w:header="0"/>
          <w:type w:val="continuous"/>
        </w:sectPr>
      </w:pPr>
    </w:p>
    <w:p>
      <w:pPr>
        <w:spacing w:after="0" w:line="2" w:lineRule="exact"/>
        <w:rPr>
          <w:sz w:val="20"/>
          <w:szCs w:val="20"/>
          <w:color w:val="auto"/>
        </w:rPr>
      </w:pPr>
    </w:p>
    <w:p>
      <w:pPr>
        <w:ind w:left="660" w:right="320" w:hanging="328"/>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nine months ended September 30, 2021 is different than the amount presented in the consolidated statement of income due to the net income attributable to redeemable noncontrolling interests of $33 million not included in equity.</w:t>
      </w:r>
    </w:p>
    <w:p>
      <w:pPr>
        <w:spacing w:after="0" w:line="88" w:lineRule="exact"/>
        <w:rPr>
          <w:rFonts w:ascii="Times New Roman" w:cs="Times New Roman" w:eastAsia="Times New Roman" w:hAnsi="Times New Roman"/>
          <w:sz w:val="21"/>
          <w:szCs w:val="21"/>
          <w:color w:val="auto"/>
          <w:vertAlign w:val="superscript"/>
        </w:rPr>
      </w:pPr>
    </w:p>
    <w:p>
      <w:pPr>
        <w:ind w:left="660" w:right="140" w:hanging="328"/>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nine months ended September 30, 2021 excludes $32 million in distributions paid to redeemable noncontrolling interests and $8 million in distributions to BANA related to the BAMS dissolution not included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940" w:type="dxa"/>
            <w:vAlign w:val="bottom"/>
            <w:gridSpan w:val="3"/>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94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1940" w:type="dxa"/>
            <w:vAlign w:val="bottom"/>
            <w:gridSpan w:val="3"/>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44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June 30, 2022</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7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7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6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June 30, 2021</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(116)</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(11)</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760" w:type="dxa"/>
            <w:vAlign w:val="bottom"/>
          </w:tcPr>
          <w:p>
            <w:pPr>
              <w:spacing w:after="0"/>
              <w:rPr>
                <w:sz w:val="20"/>
                <w:szCs w:val="20"/>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6"/>
                <w:szCs w:val="16"/>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6"/>
                <w:szCs w:val="16"/>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December 31, 2021</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December 31, 2020</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(121)</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5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4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(see Note 7). The notional amount of these derivatives was $353 million and $341 million at September 30, 2022 and December 31, 2021, respectively. Based on the amounts recorded in accumulated other comprehensive loss at September 30, 2022, the Company estimates that it will recognize losses of approximately $9 million in cost of processing and services during the next twelve months as foreign exchange forward contracts settle.</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June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$134 million and $145 million at September 30, 2022 and December 31, 2021, respectively. Based on the amounts recorded in accumulated other comprehensive loss at September 30, 2022, the Company estimates that it will recognize approximately $15 million in net interest expense during the next twelve months related to settled interest rate hedge contracts.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has entered into fixed-to-fixed cross-currency rate swap contracts and also uses its foreign currency-denominated debt as economic hedges of its net investments in such foreign currency-denominated subsidiaries. At September 30, 2022, aggregate notional cross-currency rate swaps of €160 million were designated as net investment hedges to hedge a portion of the Company’s net investment in certain subsidiaries whose functional currency is the Euro. The Company has designated its Euro- and British Pound-denominated senior notes and Euro commercial paper notes as net investment hedges to hedge a portion of its net investment in certain subsidiaries whose functional currencies are the Euro and the British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terms of the Company’s cross-currency rate swap contracts at September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 of Contract</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Maturity Date of Contract</w:t>
            </w:r>
          </w:p>
        </w:tc>
        <w:tc>
          <w:tcPr>
            <w:tcW w:w="2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Notional Amount (EUR)</w:t>
            </w:r>
          </w:p>
        </w:tc>
        <w:tc>
          <w:tcPr>
            <w:tcW w:w="2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Fixed Rate Paid (EUR)</w:t>
            </w:r>
          </w:p>
        </w:tc>
        <w:tc>
          <w:tcPr>
            <w:tcW w:w="2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Fixed Rate Received</w:t>
            </w:r>
          </w:p>
        </w:tc>
        <w:tc>
          <w:tcPr>
            <w:tcW w:w="0" w:type="dxa"/>
            <w:vAlign w:val="bottom"/>
          </w:tcPr>
          <w:p>
            <w:pPr>
              <w:spacing w:after="0"/>
              <w:rPr>
                <w:sz w:val="1"/>
                <w:szCs w:val="1"/>
                <w:color w:val="auto"/>
              </w:rPr>
            </w:pPr>
          </w:p>
        </w:tc>
      </w:tr>
      <w:tr>
        <w:trPr>
          <w:trHeight w:val="243"/>
        </w:trPr>
        <w:tc>
          <w:tcPr>
            <w:tcW w:w="2260" w:type="dxa"/>
            <w:vAlign w:val="bottom"/>
            <w:gridSpan w:val="2"/>
            <w:vMerge w:val="continue"/>
          </w:tcPr>
          <w:p>
            <w:pPr>
              <w:spacing w:after="0"/>
              <w:rPr>
                <w:sz w:val="21"/>
                <w:szCs w:val="21"/>
                <w:color w:val="auto"/>
              </w:rPr>
            </w:pPr>
          </w:p>
        </w:tc>
        <w:tc>
          <w:tcPr>
            <w:tcW w:w="2280" w:type="dxa"/>
            <w:vAlign w:val="bottom"/>
            <w:gridSpan w:val="2"/>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20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80 million</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15, 2022</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2026</w:t>
            </w:r>
          </w:p>
        </w:tc>
        <w:tc>
          <w:tcPr>
            <w:tcW w:w="24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loss in the consolidated statements of comprehensive income (loss) and will remain in accumulated other comprehensive loss in the consolidated balance sheets until the sale or complete liquidation of the underlying foreign subsidiaries.</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related to net investment hedges that were recorded in other comprehensive loss in the consolidated statements of comprehensive income (loss)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gridSpan w:val="6"/>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8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34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77</w:t>
            </w:r>
          </w:p>
        </w:tc>
      </w:tr>
    </w:tbl>
    <w:p>
      <w:pPr>
        <w:spacing w:after="0" w:line="3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$89 million and $172 million, during the three and nine months ended September 30, 2022, respectively, in other comprehensive loss from the translation of foreign currency-denominated senior notes, commercial paper notes and cross-currency rate swap contracts.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recognized $89 million and $63 million of share-based compensation expense during the three months ended September 30, 2022 and 2021, respectively, and $244 million and $190 million of share-based compensation expense during the nine months ended September 30, 2022 and 2021, respectively. The Company’s share-based compensation awards are typically granted in the first quarter of the year, and may also occur throughout the year in conjunction with acquisitions of businesses. At September 30, 2022, the total remaining unrecognized compensation cost for unvested stock options, restricted stock units and awards and performance share units, net of estimated forfeitures, of $563 million is expected to be recognized over a weighted-average period of 2.2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nine months ended September 30,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0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Value (In millions)</w:t>
            </w:r>
          </w:p>
        </w:tc>
        <w:tc>
          <w:tcPr>
            <w:tcW w:w="0" w:type="dxa"/>
            <w:vAlign w:val="bottom"/>
          </w:tcPr>
          <w:p>
            <w:pPr>
              <w:spacing w:after="0"/>
              <w:rPr>
                <w:sz w:val="1"/>
                <w:szCs w:val="1"/>
                <w:color w:val="auto"/>
              </w:rPr>
            </w:pPr>
          </w:p>
        </w:tc>
      </w:tr>
      <w:tr>
        <w:trPr>
          <w:trHeight w:val="225"/>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September 30, 2022</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56.07</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nine months ended September 30, 2022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3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Restricted Stock Units and Awards</w:t>
            </w:r>
          </w:p>
        </w:tc>
        <w:tc>
          <w:tcPr>
            <w:tcW w:w="3240" w:type="dxa"/>
            <w:vAlign w:val="bottom"/>
            <w:gridSpan w:val="4"/>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Performance Share Units</w:t>
            </w: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16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3"/>
                <w:szCs w:val="13"/>
                <w:color w:val="auto"/>
              </w:rPr>
            </w:pPr>
          </w:p>
        </w:tc>
        <w:tc>
          <w:tcPr>
            <w:tcW w:w="16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1, 2022, in conjunction with the acquisition of Finxact (see Note 4), the Company granted 2.4 million restricted stock units with performance vesting provisions to be measured over two and five years, which are presented as performance share units within the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7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4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3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ind w:right="53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bl>
    <w:p>
      <w:pPr>
        <w:spacing w:after="0" w:line="2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income (loss) from investments in unconsolidated affiliates was 22.5% and 11.3% for the three months ended September 30, 2022 and 2021, respectively, and was 19.7% and 23.7% for the nine months ended September 30, 2022 and 2021, respectively.</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2021 included discrete tax benefits from subsidiary restructurings and changes in uncertain tax positions.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each of the nine months ended September 30, 2022 and 2021 includes discrete tax benefits from subsidiary restructurings and equity compensation related tax benefits. The effective income tax rate for the nine months ended September 30, 2021 also included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$108 million at September 30, 2022. The Company believes it is reasonably possible that the liability for unrecognized tax benefits may decrease by up to $5 million over the next twelve months as a result of possible closure of tax audits, potential audit settlements, and the lapse of the statutes of limitation in various jurisdictions.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Company’s U.S. federal income tax return for 2021, and tax returns in certain states and foreign jurisdictions for 2015 through 2021,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5"/>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60" w:type="dxa"/>
            <w:vAlign w:val="bottom"/>
            <w:tcBorders>
              <w:top w:val="single" w:sz="8" w:color="auto"/>
            </w:tcBorders>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060" w:type="dxa"/>
            <w:vAlign w:val="bottom"/>
            <w:tcBorders>
              <w:top w:val="single" w:sz="8" w:color="auto"/>
            </w:tcBorders>
          </w:tcPr>
          <w:p>
            <w:pPr>
              <w:ind w:left="36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5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180" w:hanging="161"/>
        <w:spacing w:after="0" w:line="226"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 per share - basic</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 per share - diluted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34"/>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72"/>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w:t>
            </w:r>
          </w:p>
        </w:tc>
      </w:tr>
      <w:tr>
        <w:trPr>
          <w:trHeight w:val="21"/>
        </w:trPr>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560"/>
            <w:col w:w="4540"/>
          </w:cols>
          <w:pgMar w:left="320" w:top="121" w:right="339" w:bottom="1440" w:gutter="0" w:footer="0" w:header="0"/>
          <w:type w:val="continuous"/>
        </w:sectPr>
      </w:pP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each of the three months ended September 30, 2022 and 2021, stock options for 1.6 million shares were excluded from the calculation of weighted-average outstanding shares - diluted because their impact was anti-dilutive. For the nine months ended September 30, 2022 and 2021, stock options for 1.8 million and 1.5 million shares, respectively, were excluded from the calculation of weighted-average outstanding shares - diluted because their impact was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nonmonetary assets (see Note 10)</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accruals of $24 million and $32 million at September 30, 2022 and December 31, 2021,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$60 million. In the opinion of management, the liabilities,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any, which may ultimately result from such legal proceedings are not expected to have a material adverse effect on the Company’s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$1.6 billion at both September 30, 2022 and December 31,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majority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$47 million and $42 million for the three months ended September 30, 2022 and 2021, respectively and $140 million and $132 million for the nine months ended September 30, 2022 and 2021,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The Company had $55 million and $36 million of amounts due from unconsolidated merchant alliances included within trade accounts receivable, net in the consolidated balance sheets at September 30, 2022 and December 31, 2021,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Transition Services Agreements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2021, totaled $5 million and $6 million during the three months ended September 30, 2022 and 2021, respectively, and $14 million and $32 million during the nine months ended September 30, 2022 and 2021, respectively, and were primarily recognized as processing and services revenue in the consolidated statements of income.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3, 2021, New Omaha Holdings L.P. (“New Omaha”), a shareholder of the Company, completed an underwritten secondary public offering of 23.0 million shares of Fiserv, Inc. common stock (the “offering”). The Company did not sell any shares in, nor did it receive any proceeds from, the offering. New Omaha received all of the net proceeds from the offering. In connection with the offering, the Company repurchased from the underwriters 5.0 million shares of its common stock that were subject to the offering, at a price equal to the price per share paid by the underwriters to New Omaha in the offering (the “share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repurchase”). The share repurchase totaled $588 million and was funded with cash on hand. The repurchased shares were cancelled and no longer outstanding following the completion of the share repurchase. Prior to the offering, New Omaha owned approximately 13% of the Company’s outstanding shares of common stock. New Omaha owned less than 5% of the Company’s outstanding shares of common stock as of September 30,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Segment Information</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point-of-sale merchant acquiring and digital commerce services; mobile payment services; security and fraud protection products;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the Company’s omnichannel commerce ecosystem;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cloud-based point-of-sale and business management platform; and Clover Connect, the Company’s independent software vendor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transition services revenue associated with various dispositions, and the Company’s Output Solutions postage reimbursements.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operating income (loss)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1,463</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that could cause actual results to differ materially from our current expectations. The factors that may affect our results include, among others, the following, many of which may continue to be amplified by the COVID-19 pandemic: the continuing impact of the COVID-19 pandemic on our employees, clients, vendors, supply chain, operations and sales;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including those resulting from heightened inflation, rising interest rates, a recession, or intensified international hostilities,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included in "Risk Factors” in our Annual Report on Form 10-K for the year ended December 31, 2021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2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services and products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jc w:val="both"/>
        <w:ind w:left="660" w:right="640" w:hanging="328"/>
        <w:spacing w:after="0" w:line="315"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This section contains an analysis of our results of operations presented in the accompanying unaudited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income by comparing the results for the three and nine months ended September 30, 2022 to the comparable period in 2021.</w:t>
      </w:r>
    </w:p>
    <w:p>
      <w:pPr>
        <w:spacing w:after="0" w:line="80" w:lineRule="exact"/>
        <w:rPr>
          <w:rFonts w:ascii="Times New Roman" w:cs="Times New Roman" w:eastAsia="Times New Roman" w:hAnsi="Times New Roman"/>
          <w:sz w:val="17"/>
          <w:szCs w:val="17"/>
          <w:color w:val="auto"/>
        </w:rPr>
      </w:pPr>
    </w:p>
    <w:p>
      <w:pPr>
        <w:ind w:left="660" w:right="38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7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financial technology companies and corporate clients. We provide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w:t>
      </w:r>
    </w:p>
    <w:p>
      <w:pPr>
        <w:spacing w:after="0" w:line="14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aspire to move money and information in a way that moves the world by delivering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operations are comprised of the Merchant Acceptance (“Acceptance”) segment, the Financial Technology (“Fintech”) segment and the Payments and Network (“Payments”) segment.</w:t>
      </w:r>
    </w:p>
    <w:p>
      <w:pPr>
        <w:spacing w:after="0" w:line="10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to merchants of all sizes and types around the world. These solutions include POS merchant acquiring and digital commerce services; mobile payment services; security and fraud protection products;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our omnichannel commerce ecosystem; Clover, our cloud-based POS and business management platform, which includes a marketplace for proprietary and third-party business applications; and Clover Connect, our independent software vendor (“ISV”) platform. We distribute the products and services in the global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transition services revenue associated with various dispositions, and our Output Solutions postage reimbursements.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frequently review our portfolio to ensure we have the necessary business assets to execute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 2022, we acquired NexTable, Inc. (“NexTable”), a provider of cloud-based reservation and table management solutions for restaurants.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NexTable is included within the Acceptance segment and expands our end-to-end restaurant solutions.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 2022, we acquired The LR2 Group, LLC (“City POS”), an independent sales organization (“ISO”) that promotes payment processing services and facilitates the sale of point-of-sale equipment for merchants. City POS is included within the Acceptance segment and expands the reach of our merchant services business. On April 1, 2022, we acquired a remaining ownership interest in Finxact, Inc. (“Finxact”), a developer of cloud-native banking solutions powering digital transformation throughout the financial services sector. Finxact is included within the Fintech segment and advances our digital banking strategy, expanding our account processing, digital, and payments solutions. We acquired these businesses for an aggregate purchase price of approximately $686 million, net of $27 million of acquired cash, and including earn-out provisions at an aggregate fair value of approximately $6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Dispositions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September 30, 2022, we sold our Korea operations, which were reported in our Acceptance segment. On October 17, 2022, we sold Fiserv Costa Rica, S.A. and our Systems Integration Services operations, which provides information technology engineering services in the United States (“U.S.”) and India, to a single buyer. As part of the agreement, the buyer will provide us with ongoing services and support. These divestitures were the result of a strategic review of our business portfolio.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2021 Acquisitions</w:t>
      </w:r>
    </w:p>
    <w:p>
      <w:pPr>
        <w:spacing w:after="0" w:line="17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22, 2021, we acquired BentoBox CMS, Inc. (“BentoBox”), a digital marketing and commerce platform that helps restaurants connect with their guests. BentoBox is included within the Acceptance segment and further expands our Clover dining solutions and commerce and business management capabilities. On November 15, 2021, we acquired a remaining ownership interest in NetPay Solutions Group (“NetPay”), a multi-channel payment service provider offering a range of capabilities around onboarding, customer lifecycle, risk management and settlement to businesses of all sizes. NetPay is included within the Acceptance segment and further expands our merchant services business. On October 1, 2021, we acquired Integrity Payments, LLC (“AIP”), an ISO that promotes payment processing services for merchants and is included within the Acceptance segment. On June 14, 2021, we acquired Spend Labs Inc. (“SpendLabs”), a mobile-native, cloud-based software provider of commercial card payment solutions. SpendLabs is included within the Payments segment and further expands our digital capabilities across mobile and desktop devices for small and mid-sized businesses. On May 4, 2021, we acquired Pineapple Payments Holdings, LLC (“Pineapple Payments”), an ISO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provider of a platform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digital experience platform provider for financial institutions. Ondot is included within the Payments segment and further expands our digital capabilities, enhancing our suite of integrated payments, banking and merchant solutions. We acquired these businesses for an aggregate purchase price of $882 million, net of $43 million of acquired cash, and including earn-out provisions at an aggregate fair value of $34 million. The results of operations for these acquired businesses are included in our consolidated results from the respective dates of acquisition.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ISVs, and we believe there are thousands of these potential distribution partnership opportunities available to us.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service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 which enable financial institutions to offer their customers an industry-leading digital banking experience.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the trends described above, during the past 25 years, the number of financial institutions in the U.S. has declined at a relatively steady rate of approximately 3% per year,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coronavirus (“COVID-19”) pandemic has and may continue to impact our employees, clients, vendors, supply chain, operations and sales. Further developments surrounding COVID-19 are uncertain and may impact our future operational and financial performance and remain difficult to predict.</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effects of the macroeconomic environment, including supply chain shortages, higher inflation and interest rates and other global economic conditions, have impacted, and may continue to impact, our business, consumer spending and the economy as a whole. In 2021, we began observing increasing shortages and delays in the global supply chain for components and inputs necessary to our businesses, such as semiconductors, paper and plastic, and we may experience difficulty procuring those components and inputs in the future on a timely basis or at historical prices. In addition to intensified political instability globally, the U.S. and other countries in which we operate are experiencing higher inflation and interest rates and slower growth in 2022. We continue to monitor and actively manage our business in response to these unpredictable geopolitical and market conditions as they may adversely impact our operations and financial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operating results for certain foreign countries in which we operate may be adversely impacted by fluctuations in exchange rates for currencies other than the U.S. dollar, including the Euro and British pound sterling. In recent months, the U.S. dollar has strengthened against certain foreign currencies in countries in which we operate, which negatively impacts our revenue and earnings. While the majority of our revenue is earned domestically, we continually monitor the foreign exchange rate environment in an effort to help mitigate these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2021,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left="692"/>
              <w:spacing w:after="0" w:line="219"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780" w:type="dxa"/>
            <w:vAlign w:val="bottom"/>
          </w:tcPr>
          <w:p>
            <w:pPr>
              <w:jc w:val="right"/>
              <w:ind w:right="250"/>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1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160" w:type="dxa"/>
            <w:vAlign w:val="bottom"/>
          </w:tcPr>
          <w:p>
            <w:pPr>
              <w:jc w:val="right"/>
              <w:ind w:right="41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on sale of business and other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Income (loss) from investments in unconsolidated</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right="240" w:hanging="328"/>
        <w:spacing w:after="0" w:line="225"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280" w:type="dxa"/>
            <w:vAlign w:val="bottom"/>
          </w:tcPr>
          <w:p>
            <w:pPr>
              <w:spacing w:after="0"/>
              <w:rPr>
                <w:sz w:val="13"/>
                <w:szCs w:val="13"/>
                <w:color w:val="auto"/>
              </w:rPr>
            </w:pPr>
          </w:p>
        </w:tc>
        <w:tc>
          <w:tcPr>
            <w:tcW w:w="202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gridSpan w:val="3"/>
          </w:tcPr>
          <w:p>
            <w:pPr>
              <w:jc w:val="center"/>
              <w:ind w:left="692"/>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780" w:type="dxa"/>
            <w:vAlign w:val="bottom"/>
          </w:tcPr>
          <w:p>
            <w:pPr>
              <w:jc w:val="right"/>
              <w:ind w:right="251"/>
              <w:spacing w:after="0" w:line="136" w:lineRule="exact"/>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51"/>
              <w:spacing w:after="0" w:line="136" w:lineRule="exact"/>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3"/>
                <w:szCs w:val="13"/>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1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1160" w:type="dxa"/>
            <w:vAlign w:val="bottom"/>
          </w:tcPr>
          <w:p>
            <w:pPr>
              <w:jc w:val="right"/>
              <w:ind w:right="41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sale of business and other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from</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240" w:hanging="328"/>
        <w:spacing w:after="0" w:line="232"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1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Fintech</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320" w:type="dxa"/>
            <w:vAlign w:val="bottom"/>
          </w:tcPr>
          <w:p>
            <w:pPr>
              <w:spacing w:after="0"/>
              <w:rPr>
                <w:sz w:val="13"/>
                <w:szCs w:val="13"/>
                <w:color w:val="auto"/>
              </w:rPr>
            </w:pP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7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766</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7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7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 (decline)</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Operating income growth (decline)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(decline)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bps</w:t>
            </w: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(190) bps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bps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Fintech</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320" w:type="dxa"/>
            <w:vAlign w:val="bottom"/>
          </w:tcPr>
          <w:p>
            <w:pPr>
              <w:spacing w:after="0"/>
              <w:rPr>
                <w:sz w:val="13"/>
                <w:szCs w:val="13"/>
                <w:color w:val="auto"/>
              </w:rPr>
            </w:pP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2,347</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817</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(decline)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w w:val="95"/>
              </w:rPr>
              <w:t>bps</w:t>
            </w: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(50) bps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bps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or decline in operating margin.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Total revenue increased $355 million, or 9%, in the third quarter of 2022 and $1,137 million, or 9%, in the first nine months of 2022 compared to 2021. The revenue increase was driven by higher processing revenue and product sales across all of our business segments, and was partially offset by a 2% decrease in both the third quarter and first nine months of 2022 due to foreign exchange fluctuations.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our Acceptance segment increased $162 million, or 9%, in the third quarter of 2022 and $653 million, or 14%, in the first nine months of 2022 compared to 2021. The revenue increase was driven by higher global merchant acquiring payment and transaction volumes, including an increase in global accounts and locations.</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in our Fintech segment increased $5 million, or 1%, in the third quarter of 2022 and $96 million, or 4%, in the first nine months of 2022 compared to 2021. The revenue increase was primarily driven by higher processing revenue across our Fintech businesses of 2% and 3%, in the third quarter and first nine months of 2022, respectively. The revenue growth in the third quarter of 2022 was partially offset by a 1% decrease in license and termination fee revenue compared to 2021.</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in our Payments segment increased $146 million, or 10%, in the third quarter of 2022 and $300 million, or 7%, in the first nine months of 2022 compared to 2021. In the third quarter and first nine months of 2022, our debit processing business contributed 5% and 4%, respectively, to Payments revenue growth driven by new client wins on our network services; our credit processing business contributed 2% and 1%, respectively, primarily driven by an increase in active accounts; and our Output Solutions business contributed 3% and 2%, respectively, primarily driven by new client growth.</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$42 million, or 20%, in the third quarter of 2022 and $88 million, or 14%, in the first nine months of 2022 compared to 2021, primarily due to increased postage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Total expenses increased $136 million, or 4%, in the third quarter of 2022 and $331 million, or 3%, in the first nine months of 2022 compared to 2021. Total expenses as a percentage of total revenue decreased 360 basis points to 81.1% in the third quarter of 2022 and 480 basis points to 80.5% in the first nine months of 2022 compared to 2021. Total expenses as a percentage of total revenue were favorably impacted in the third quarter and first nine months of 2022 by a $156 million and $368 million, respectively, reduction in acquisition and integration related expense. Total expenses as a percentage of total revenue for the first nine months of 2022 were also favorably impacted by operating leverage accompanying scalable revenue growth, partially offset by increased costs associated with our continued investment in businesses for growth.</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39.2% in the third quarter of 2022 compared to 44.9% in the third quarter of 2021 and to 40.8% in the first nine months of 2022 compared to 45.1% in the first nine months of 2021. Cost of processing and services as a percentage of processing and services revenue was favorably impacted in the third quarter and first nine months of 2022 by a reduction in acquisition and integration related expenses of approximately 330 basis points and 240 basis points, respectively, as well as strong operating leverage across our businesses. The favorable impact was partially offset by an increase in severance costs of approximately 60 basis points in the first nine months of 2022.</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65.8% in the third quarter of 2022 compared to 68.9% in the third quarter of 2021 and to 68.9% in the first nine months of 2022 compared to 69.9% in the first nine months of 2021. The cost of product as a percentage of product revenue improved in the third quarter and first nine months of 2022 as a result of revenue mix, including a decrease in lower margin hardware revenue in the third quarter of 2022.</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34.2% in the third quarter of 2022 compared to 35.5% in the third quarter of 2021 and to 34.8% in the first nine months of 2022 compared to 35.8% in the first nine months of 2021. The decrease in selling, general and administrative expenses as a percentage of total revenue in the third quarter and first nine months of 2022 was primarily due to a reduction in amortization of acquisition-related intangible assets of approximately 100 basis points in both the third quarter and first nine months of 2022.</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$120 million pre-tax loss on sale of business in the third quarter of 2022 resulted from the sale of our Korea operations. This loss was offset in the first nine months of 2022 from the $147 million pre-tax gain on sale of assets, which resulted from the sale of certain merchant contracts in conjunction with the mutual termination of one of our merchant alliance joint ventures.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operating income increased $219 million, or 34%, in the third quarter of 2022 and $806 million, or 46%, in the first nine months of 2022 compared to 2021. Total operating margin increased 360 basis points to 18.9% in the third quarter of 2022 and 480 basis points to 19.5% in the first nine months of 2022 compared to 2021. Total operating income and total operating margin benefited from revenue growth in the third quarter and first nine months of 2022, along with a reduction in acquisition and integration related expenses. Total operating margin in the third quarter and first nine months of 2022 was slightly offset by costs associated with our continued investments in our businesses for growth as well as increased severance costs.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Operating income in our Acceptance segment increased $58 million, or 11%, in the third quarter of 2022 and $210 million, or 14%, in the first nine months of 2022 compared to 2021. Operating margin increased 20 basis points to 32.4% in the third quarter of 2022 and 20 basis points to 30.8% in the first nine months of 2022 compared to 2021. Operating income growth in our Acceptance segment was primarily due to revenue growth in the first nine months of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income in our Fintech segment decreased $14 million, or 5%, in the third quarter of 2022 and increased $23 million, or 3%, in the first nine months of 2022 compared to 2021. Operating margin decreased 190 basis points to 34.1% in the third quarter of 2022 and decreased 50 basis points to 34.8% in the first nine months of 2022 compared to 2021. Operating income and margin were unfavorably impacted from a decrease in license and termination fee revenue of approximately 100 basis points in the third quarter of 2022 compared to the prior year period. Operating margin in the third quarter and first nine months of 2022 were also reduced by increased costs related to our continuing investment in the business, including an impact of 110 basis points and 70 basis points, respectively, related to the recent acquisition of Finxact.</w:t>
      </w:r>
    </w:p>
    <w:p>
      <w:pPr>
        <w:spacing w:after="0" w:line="13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Operating income in our Payments segment increased $95 million, or 15%, in the third quarter of 2022 and $168 million, or 9%, in the first nine months of 2022 compared to 2021. Operating margin increased 190 basis points to 45.6% in the third quarter of 2022 and 80 basis points to 43.9% in the first nine months of 2022 compared to 2021. Payments segment operating income and margin growth in the third quarter and first nine months of 2022 was primarily due to scalable revenue growth from our debit and credit processing businesses along with a reduction in lower margin revenue in our prepaid business.</w:t>
      </w:r>
    </w:p>
    <w:p>
      <w:pPr>
        <w:spacing w:after="0" w:line="1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operating loss in Corporate and Other decreased $80 million in the third quarter of 2022 and $405 million in the first nine months of 2022 compared to 2021. Corporate and Other was favorably impacted by approximately $200 million and $480 million reduction in acquisition and integration related costs and amortization of acquisition related intangible assets in the third quarter and first nine months of 2022, respectively. The operating loss in the third quarter of 2022 included a $120 million loss on the sale of our Korea operations and $96 million of increased severance costs in the first nine months of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expense, net increased $18 million, or 10%, in the third quarter of 2022 and $11 million, or 2% in the first nine months of 2022 compared to 2021 primarily due to higher interest rates on outstanding borrowings.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expense increased $119 million in the first nine months of 2022 compared to 2021. Other (expense) income includes net foreign currency transaction gains and losses, gains or losses from a change in fair value of investments in certain equity securities, and amounts related to debt guarantee arrangements of certain joint ventures. Net foreign currency transaction (losses) gains were ($35 million) and $8 million in the first nine months of 2022 and 2021, respectively. Other expense in the first nine months of 2022 also includes net pre-tax expense of $57 million associated with joint venture debt guarantees. Other income in the first nine months of 2021 included $12 million related to a pre-tax gain on the remeasurement of a previously held investment in Ondot to fair value upon acquiring the remaining ownership interest in the entity.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Income tax provision as a percentage of income before income taxes and income (loss) from investments in unconsolidated affiliates was 22.5% and 11.3% in the third quarter of 2022 and 2021, respectively, and was 19.7% and 23.7% for the first nine months of 2022 and 2021, respectively. For the three months ended September 30, 2021, the effective tax rate included discrete tax benefits from subsidiary restructurings and changes in uncertain tax positions.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each of the nine months ended September 30, 2022 and 2021 includes discrete tax benefits from subsidiary restructurings and equity compensation related tax benefits. The effective income tax rate for the nine months ended September 30, 2021 also included $134 million of income tax expense attributed to the revaluation of certain net deferred tax liabilities, primarily related to intangible assets and investments in joint ventures recognized at fair value in connection with the acquisition of First Data, reflecting the effect of enacted corporate income tax rate changes in the United Kingdom (tax rate increase from 19% to 25% starting in 2023) and Argentina (tax rate increase from 25% to 35%).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Investments in Unconsolidated Affiliates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share of net income (loss) from affiliates accounted for using the equity method is reported as income (loss) from investments in unconsolidated affiliates, and the related tax expense is reported within the income tax provision in the consolidated statements of income. Income (loss) from investments in unconsolidated affiliates, including acquired intangible asset amortization from valuations in purchase accounting, was ($12 million) and $22 million in the third quarter of 2022 and 2021, respectively, and $222 million and $80 million in the first nine months of 2022 and 2021,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Loss from investments in unconsolidated affiliates in the third quarter of 2022 includes our share, or $15 million, of expenses associated with debt refinancing activities at our unconsolidated affiliates. Income from investments in unconsolidated affiliates in the first nine months of 2022 includes pre-tax gains totaling $209 million, primarily related to the acquisition-date fair value remeasurement of our previously held equity interest in Finxact of $110 million, as well as $80 million resulting from the dilution of our ownership interest in conjunction with the Sagent, M&amp;C, LLC transaction with a third party. Income from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investments in unconsolidated affiliates in the first nine months of 2021 included a $33 million pre-tax gain resulting from the sale of our remaining ownership interest in InvestCloud, as well as a $28 million pre-tax gain resulting from the dilution of our ownership interest in connection with the Tegra118 merger with a third party.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$12 million and $18 million in the third quarter of 2022 and 2021, respectively, and $36 million and $47 million in the first nine months of 2022 and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$0.75 and $0.64 in the third quarter of 2022 and 2021, respectively, and $2.68 and $1.49 in the first nine months of 2022 and 2021, respectively. Net income attributable to Fiserv, Inc. per share-diluted in the first nine months of 2021 included $134 million of certain discrete tax expenses discussed above, as well as higher acquisition and integration related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term and the long term using cash flow generated by our operations, along with our cash and cash equivalents of $893 million, proceeds from the issuance of U.S. dollar and Euro commercial paper, and available capacity under our revolving credit facility of $2.3 billion (net of $3.7 billion of capacity designated for outstanding borrowings under our commercial paper programs and letters of credit) at September 30, 2022.</w:t>
      </w:r>
    </w:p>
    <w:p>
      <w:pPr>
        <w:spacing w:after="0" w:line="1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cash flow and capital expenditure amounts for the nine months ended September 30, 2022 and 2021,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60" w:type="dxa"/>
            <w:vAlign w:val="bottom"/>
          </w:tcPr>
          <w:p>
            <w:pPr>
              <w:spacing w:after="0"/>
              <w:rPr>
                <w:sz w:val="18"/>
                <w:szCs w:val="18"/>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60" w:type="dxa"/>
            <w:vAlign w:val="bottom"/>
          </w:tcPr>
          <w:p>
            <w:pPr>
              <w:spacing w:after="0"/>
              <w:rPr>
                <w:sz w:val="21"/>
                <w:szCs w:val="21"/>
                <w:color w:val="auto"/>
              </w:rPr>
            </w:pPr>
          </w:p>
        </w:tc>
        <w:tc>
          <w:tcPr>
            <w:tcW w:w="26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business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or operating cash flow, was $3.0 billion in the first nine months of 2022, an increase of 11% compared to $2.7 billion in the first nine months of 2021. This increase was primarily attributable to improved operating results, partially offset by higher working capital use compared to the prior period, including increased accounts receivable corresponding to revenue growth.</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acquisitions and to repay debt rather than to pay dividends. Our capital expenditures were approximately 9% and 7% of our total revenue for the first nine months of 2022 and 2021, respectively.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repurchased $1.8 billion and $1.6 billion (including the repurchase described below) of our common stock during the first nine months of 2022 and 2021, respectively. As of September 30, 2022, we had approximately 24.5 million shares remaining under our current repurchase authorization. Shares repurchased are generally held for issuance in connection with our equity plans.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May 2021, New Omaha Holdings L.P. (“New Omaha”), a shareholder of ours, completed an underwritten secondary public offering of 23.0 million shares of our common stock (the “offering”). We repurchased from the underwriters 5.0 million shares of our common stock that were subject to the offering. The share repurchase totaled $588 million and was funded with cash on hand. The repurchased shares were cancelled and no longer outstanding following the completion of the share repurchase.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acquired NexTable in September 2022, City POS in June 2022 and a remaining ownership interest in Finxact in April 2022, for an aggregate purchase price of approximately $686 million, net of $27 million of acquired cash, and including earn-out provisions at an aggregate fair value of approximately $6 million. We funded these acquisitions by utilizing a combination of available cash and commercial paper notes.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acquired BentoBox in November 2021, AIP in October 2021, SpendLabs in June 2021, Pineapple Payments in May 2021 and Radius8 in March 2021. Additionally, we acquired a remaining ownership interest in NetPay in November 2021 and a remaining ownership interest in Ondot in January 2021, in which we previously held noncontrolling equity interests. We acquired these businesses for an aggregate purchase price of $882 million, net of $43 million of acquired cash, and including earn-out provisions at an aggregate fair value of $34 million. We funded these acquisitions by utilizing a combination of available cash, commercial paper notes and existing availability under our revolving credit facility. The results of operations for these acquired businesses are included in our consolidated results from the respective dates of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September 2022, we sold our Korea operations for $50 million, consisting of $43 million in net cash and an equity interest in the buyer of $7 million. In March 2022, we mutually agreed to terminate a merchant alliance joint venture with a minority partner. Upon termination of the joint venture, we received proceeds of $175 million from the sale of certain merchant contracts. The net proceeds from these dispositions were primarily used to pay down indebtedness and repurchase shares of our common stock.</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previously maintained a noncontrolling interest in Tegra118, LLC (“Tegra118”) which was accounted for under the equity method.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in June 2021, we sold our entire ownership interest in InvestCloud for $466 million. The net proceeds from the sale were primarily used to pay down outstanding borrowings on our term loan facility.</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lines of credit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October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September 30, 2022, our debt consisted primarily of $16.5 billion of fixed-rate senior notes and $3.7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our 0.375% Euro-denominated senior notes due in July 2023 and U.S dollar and Euro commercial paper programs are classified in the consolidated balance sheet as long-term, as we have the intent to refinance these borrowings on a long-term basis through the continued issuance of new commercial paper notes upon maturity, and we also have the ability to refinance such borrowings under our revolving credit facility, as further discussed below.</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July 2022, we redeemed $700 million in aggregate principal amount of our outstanding 3.50% senior notes due in October 2022 at a redemption price equal to 100% of the aggregate principal amount of the notes being redeemed, plus accrued and unpaid interest. We financed the redemption of these notes using proceeds from the issuance of U.S. dollar commercial paper. We also repaid $485 million, representing all amounts outstanding on our receivable securitized loan, in July 2022 using proceeds from the issuance of U.S. dollar commercial paper and terminated the underlying receivables financing agreement.</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June 2022, we entered into a new senior unsecured multicurrency revolving credit facility with substantially the same syndicate of banks that were lenders under our existing amended and restated revolving credit facility, which we voluntarily terminated and replaced. The new credit agreement matures in June 2027 and provides for a maximum aggregate principal amount of availability of $6.0 billion.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new revolving credit facility contains various restrictions and covenants that require us, among other things, to limit our consolidated indebtedness as of the end of each fiscal quarter to no more than 3.75 times our consolidated net income before interest, taxes, depreciation, amortization, non-cash charges and expenses and certain other adjustments (“EBITDA”) during the period of four fiscal quarters then ended, subject to certain exceptions.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loan facility contains various restrictions and covenants that require us to, among other things, (i) limit our consolidated indebtedness as of the end of each fiscal quarter to no more than 3.5 times our EBITDA during the period of four fiscal quarters then ended, subject to certain exceptions, and (ii) maintain EBITDA of at least 3.0 times our consolidated interest expense as of the end of each fiscal quarter for the period of four fiscal quarters then ended.</w:t>
      </w:r>
    </w:p>
    <w:p>
      <w:pPr>
        <w:spacing w:after="0" w:line="1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2022,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September 30, 2022:</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2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33.53%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July 2024</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4.31%</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4.62%</w:t>
            </w: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maintain short-term lines of credit with foreign banks and alliance partners primarily to fund settlement activity. These arrangements are primarily associated with our international operations and are in various functional currencies, the most significant of which is the Argentine peso.</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maintain U.S. dollar and Euro unsecured commercial paper programs with various maturities generally ranging from one day to four months. Outstanding borrowings under our commercial paper programs bear interest based on the prevailing rates at the time of issuance. In August 2022, we increased our U.S. commercial paper program borrowing capacity to $6.0 billion to align with the maximum amount of availability under our revolving credit facility.</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discussed above, we maintain a revolving credit facility with aggregate commitments available for $6.0 billion of total capacity. Borrowings under the credit facility bear interest at a variable rate based on a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2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maintain a term loan credit agreement with a syndicate of financial institutions. Outstanding borrowings under the term loan bear interest at a variable rate based on one-month LIBOR or a base rate, in each case plus a specified margin based on our long-term debt rating in effect from time to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three months or less that are readily convertible to cash are considered to be cash equivalents as reflected within our consolidated balance sheets. At September 30, 2022 and December 31, 2021, we held $893 million and $835 million in cash and cash equivalents,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cash and cash equivalents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2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Domestic</w:t>
            </w:r>
          </w:p>
        </w:tc>
        <w:tc>
          <w:tcPr>
            <w:tcW w:w="160" w:type="dxa"/>
            <w:vAlign w:val="bottom"/>
          </w:tcPr>
          <w:p>
            <w:pPr>
              <w:spacing w:after="0"/>
              <w:rPr>
                <w:sz w:val="13"/>
                <w:szCs w:val="13"/>
                <w:color w:val="auto"/>
              </w:rPr>
            </w:pPr>
          </w:p>
        </w:tc>
        <w:tc>
          <w:tcPr>
            <w:tcW w:w="1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3"/>
                <w:szCs w:val="13"/>
                <w:color w:val="auto"/>
              </w:rPr>
            </w:pPr>
          </w:p>
        </w:tc>
        <w:tc>
          <w:tcPr>
            <w:tcW w:w="10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Domestic</w:t>
            </w:r>
          </w:p>
        </w:tc>
        <w:tc>
          <w:tcPr>
            <w:tcW w:w="180" w:type="dxa"/>
            <w:vAlign w:val="bottom"/>
          </w:tcPr>
          <w:p>
            <w:pPr>
              <w:spacing w:after="0"/>
              <w:rPr>
                <w:sz w:val="13"/>
                <w:szCs w:val="13"/>
                <w:color w:val="auto"/>
              </w:rPr>
            </w:pPr>
          </w:p>
        </w:tc>
        <w:tc>
          <w:tcPr>
            <w:tcW w:w="1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3"/>
                <w:szCs w:val="13"/>
                <w:color w:val="auto"/>
              </w:rPr>
            </w:pPr>
          </w:p>
        </w:tc>
        <w:tc>
          <w:tcPr>
            <w:tcW w:w="10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660" w:right="420" w:hanging="328"/>
        <w:spacing w:after="0" w:line="22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including discussion of risks and potential risks of the COVID-19 pandemic on our business, is included within Item 7A of our Annual Report on Form 10-K for the year ended December 31, 2021. There were no significant changes to our quantitative and qualitative analyses about market risk during the nine months ended September 30,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September 30, 2022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September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1-31,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4,249,319</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27,853,478</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26,398,478</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1-30,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1,905,716</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24,492,762</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7,610,035</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right="10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November 19, 2020, our board of directors authorized the purchase of up to 60.0 million shares of our common stock. This authorization does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4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1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1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2"/>
                <w:szCs w:val="22"/>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4"/>
                <w:szCs w:val="14"/>
                <w:color w:val="auto"/>
              </w:rPr>
            </w:pPr>
          </w:p>
        </w:tc>
        <w:tc>
          <w:tcPr>
            <w:tcW w:w="60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71"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hanging="8"/>
        <w:spacing w:after="0" w:line="253" w:lineRule="auto"/>
        <w:tabs>
          <w:tab w:leader="none" w:pos="5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Income for the three and nine months ended September 30, 2022 and 2021, (ii) the Consolidated Statements of Comprehensive Income (Loss) for the three and nine months ended September 30, 2022 and 2021, (iii) the Consolidated Balance Sheets at September 30, 2022 and December 31, 2021, (iv) the Consolidated Statements of Cash Flows for the nine months ended September 30, 2022 and 2021, and (v) Notes to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28, 2022</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28, 2022</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October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43180</wp:posOffset>
            </wp:positionV>
            <wp:extent cx="23317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September 30, 2022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28, 2022</w:t>
            </w:r>
          </w:p>
        </w:tc>
      </w:tr>
      <w:tr>
        <w:trPr>
          <w:trHeight w:val="8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28,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lvl w:ilvl="1">
      <w:lvlJc w:val="left"/>
      <w:lvlText w:val="(%2)"/>
      <w:numFmt w:val="lowerRoman"/>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2022-10-28T06:38:11Z</dcterms:created>
  <dcterms:modified xsi:type="dcterms:W3CDTF">2022-10-28T06:38:11Z</dcterms:modified>
</cp:coreProperties>
</file>