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p>
      <w:pPr>
        <w:spacing w:after="0" w:line="200" w:lineRule="exact"/>
        <w:rPr>
          <w:sz w:val="24"/>
          <w:szCs w:val="24"/>
          <w:color w:val="auto"/>
        </w:rPr>
      </w:pPr>
    </w:p>
    <w:p>
      <w:pPr>
        <w:spacing w:after="0" w:line="25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52705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6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118110</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74" w:lineRule="exact"/>
        <w:rPr>
          <w:sz w:val="24"/>
          <w:szCs w:val="24"/>
          <w:color w:val="auto"/>
        </w:rPr>
      </w:pPr>
    </w:p>
    <w:p>
      <w:pPr>
        <w:ind w:left="660" w:right="200" w:hanging="634"/>
        <w:spacing w:after="0" w:line="217" w:lineRule="auto"/>
        <w:tabs>
          <w:tab w:leader="none" w:pos="660" w:val="left"/>
        </w:tabs>
        <w:numPr>
          <w:ilvl w:val="0"/>
          <w:numId w:val="1"/>
        </w:numPr>
        <w:rPr>
          <w:rFonts w:ascii="MS PGothic" w:cs="MS PGothic" w:eastAsia="MS PGothic" w:hAnsi="MS PGothic"/>
          <w:sz w:val="29"/>
          <w:szCs w:val="29"/>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60" w:right="180" w:hanging="634"/>
        <w:spacing w:after="0" w:line="217" w:lineRule="auto"/>
        <w:tabs>
          <w:tab w:leader="none" w:pos="660" w:val="left"/>
        </w:tabs>
        <w:numPr>
          <w:ilvl w:val="0"/>
          <w:numId w:val="2"/>
        </w:numPr>
        <w:rPr>
          <w:rFonts w:ascii="MS PGothic" w:cs="MS PGothic" w:eastAsia="MS PGothic" w:hAnsi="MS PGothic"/>
          <w:sz w:val="29"/>
          <w:szCs w:val="29"/>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128905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9"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FISERV, INC.</w:t>
      </w:r>
    </w:p>
    <w:p>
      <w:pPr>
        <w:spacing w:after="0" w:line="6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61"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3960" w:type="dxa"/>
            <w:vAlign w:val="bottom"/>
          </w:tcPr>
          <w:p>
            <w:pPr>
              <w:jc w:val="center"/>
              <w:ind w:right="1942"/>
              <w:spacing w:after="0"/>
              <w:rPr>
                <w:sz w:val="20"/>
                <w:szCs w:val="20"/>
                <w:color w:val="auto"/>
              </w:rPr>
            </w:pPr>
            <w:r>
              <w:rPr>
                <w:rFonts w:ascii="Arial" w:cs="Arial" w:eastAsia="Arial" w:hAnsi="Arial"/>
                <w:sz w:val="18"/>
                <w:szCs w:val="18"/>
                <w:b w:val="1"/>
                <w:bCs w:val="1"/>
                <w:color w:val="auto"/>
                <w:w w:val="86"/>
              </w:rPr>
              <w:t>Wisconsin</w:t>
            </w:r>
          </w:p>
        </w:tc>
        <w:tc>
          <w:tcPr>
            <w:tcW w:w="31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39-1506125</w:t>
            </w:r>
          </w:p>
        </w:tc>
      </w:tr>
      <w:tr>
        <w:trPr>
          <w:trHeight w:val="148"/>
        </w:trPr>
        <w:tc>
          <w:tcPr>
            <w:tcW w:w="396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2"/>
              <w:spacing w:after="0" w:line="149" w:lineRule="exact"/>
              <w:rPr>
                <w:sz w:val="20"/>
                <w:szCs w:val="20"/>
                <w:color w:val="auto"/>
              </w:rPr>
            </w:pPr>
            <w:r>
              <w:rPr>
                <w:rFonts w:ascii="Arial" w:cs="Arial" w:eastAsia="Arial" w:hAnsi="Arial"/>
                <w:sz w:val="14"/>
                <w:szCs w:val="14"/>
                <w:b w:val="1"/>
                <w:bCs w:val="1"/>
                <w:color w:val="auto"/>
                <w:w w:val="97"/>
              </w:rPr>
              <w:t>(I. R. S. Employer</w:t>
            </w:r>
          </w:p>
        </w:tc>
      </w:tr>
      <w:tr>
        <w:trPr>
          <w:trHeight w:val="186"/>
        </w:trPr>
        <w:tc>
          <w:tcPr>
            <w:tcW w:w="39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5"/>
              </w:rPr>
              <w:t>Incorporation or Organization)</w:t>
            </w:r>
          </w:p>
        </w:tc>
        <w:tc>
          <w:tcPr>
            <w:tcW w:w="3140" w:type="dxa"/>
            <w:vAlign w:val="bottom"/>
          </w:tcPr>
          <w:p>
            <w:pPr>
              <w:jc w:val="center"/>
              <w:ind w:left="19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6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255 Fiserv Drive, Brookfield, WI 53045</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7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391"/>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FI</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FI27</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FI30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FI25</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FI31</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4.500%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FI31A</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17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39" w:lineRule="exact"/>
        <w:rPr>
          <w:sz w:val="24"/>
          <w:szCs w:val="24"/>
          <w:color w:val="auto"/>
        </w:rPr>
      </w:pPr>
    </w:p>
    <w:p>
      <w:pPr>
        <w:ind w:right="120"/>
        <w:spacing w:after="0" w:line="24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445135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303530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328930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1"/>
        </w:trPr>
        <w:tc>
          <w:tcPr>
            <w:tcW w:w="192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30"/>
        </w:trPr>
        <w:tc>
          <w:tcPr>
            <w:tcW w:w="19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line="24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6" w:lineRule="exact"/>
        <w:rPr>
          <w:sz w:val="20"/>
          <w:szCs w:val="20"/>
          <w:color w:val="auto"/>
        </w:rPr>
      </w:pPr>
    </w:p>
    <w:p>
      <w:pPr>
        <w:spacing w:after="0" w:line="219"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9"/>
          <w:szCs w:val="19"/>
          <w:color w:val="auto"/>
        </w:rPr>
        <w:t>☐</w:t>
      </w:r>
      <w:r>
        <w:rPr>
          <w:rFonts w:ascii="Arial" w:cs="Arial" w:eastAsia="Arial" w:hAnsi="Arial"/>
          <w:sz w:val="18"/>
          <w:szCs w:val="18"/>
          <w:color w:val="auto"/>
        </w:rPr>
        <w:tab/>
        <w:t xml:space="preserve">No </w:t>
      </w:r>
      <w:r>
        <w:rPr>
          <w:rFonts w:ascii="MS PGothic" w:cs="MS PGothic" w:eastAsia="MS PGothic" w:hAnsi="MS PGothic"/>
          <w:sz w:val="19"/>
          <w:szCs w:val="19"/>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20, 2023, there were 600,185,716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332105</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357505</wp:posOffset>
            </wp:positionV>
            <wp:extent cx="708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20"/>
          </w:tcPr>
          <w:p>
            <w:pPr>
              <w:spacing w:after="0"/>
              <w:rPr>
                <w:sz w:val="20"/>
                <w:szCs w:val="20"/>
                <w:color w:val="auto"/>
              </w:rPr>
            </w:pPr>
            <w:r>
              <w:rPr>
                <w:rFonts w:ascii="Arial" w:cs="Arial" w:eastAsia="Arial" w:hAnsi="Arial"/>
                <w:sz w:val="18"/>
                <w:szCs w:val="18"/>
                <w:color w:val="0000FF"/>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0" w:type="dxa"/>
            <w:vAlign w:val="bottom"/>
            <w:gridSpan w:val="4"/>
          </w:tcPr>
          <w:p>
            <w:pPr>
              <w:ind w:left="4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9"/>
            <w:vMerge w:val="restart"/>
          </w:tcPr>
          <w:p>
            <w:pPr>
              <w:spacing w:after="0"/>
              <w:rPr>
                <w:sz w:val="20"/>
                <w:szCs w:val="20"/>
                <w:color w:val="auto"/>
              </w:rPr>
            </w:pPr>
            <w:r>
              <w:rPr>
                <w:rFonts w:ascii="Arial" w:cs="Arial" w:eastAsia="Arial" w:hAnsi="Arial"/>
                <w:sz w:val="18"/>
                <w:szCs w:val="18"/>
                <w:color w:val="0000FF"/>
                <w:w w:val="97"/>
              </w:rPr>
              <w:t>PART I – FINANCIAL INFORMATION</w:t>
            </w:r>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9"/>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Financial Statements (Unaudited)</w:t>
            </w:r>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9"/>
              </w:rPr>
              <w:t>Consolidated Statements of Income</w:t>
            </w:r>
          </w:p>
        </w:tc>
        <w:tc>
          <w:tcPr>
            <w:tcW w:w="6460" w:type="dxa"/>
            <w:vAlign w:val="bottom"/>
            <w:gridSpan w:val="7"/>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Consolidated Statements of Comprehensive Income (Loss)</w:t>
            </w:r>
          </w:p>
        </w:tc>
        <w:tc>
          <w:tcPr>
            <w:tcW w:w="4780" w:type="dxa"/>
            <w:vAlign w:val="bottom"/>
            <w:gridSpan w:val="3"/>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Consolidated Balance Sheets</w:t>
            </w:r>
          </w:p>
        </w:tc>
        <w:tc>
          <w:tcPr>
            <w:tcW w:w="6940" w:type="dxa"/>
            <w:vAlign w:val="bottom"/>
            <w:gridSpan w:val="9"/>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Consolidated Statements of Cash Flows</w:t>
            </w:r>
          </w:p>
        </w:tc>
        <w:tc>
          <w:tcPr>
            <w:tcW w:w="6160" w:type="dxa"/>
            <w:vAlign w:val="bottom"/>
            <w:gridSpan w:val="6"/>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880" w:type="dxa"/>
            <w:vAlign w:val="bottom"/>
            <w:gridSpan w:val="5"/>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00" w:type="dxa"/>
            <w:vAlign w:val="bottom"/>
            <w:gridSpan w:val="2"/>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88"/>
              </w:rPr>
              <w:t>Controls and Procedures</w:t>
            </w:r>
          </w:p>
        </w:tc>
        <w:tc>
          <w:tcPr>
            <w:tcW w:w="2580" w:type="dxa"/>
            <w:vAlign w:val="bottom"/>
            <w:tcBorders>
              <w:top w:val="single" w:sz="8" w:color="0000FF"/>
            </w:tcBorders>
            <w:gridSpan w:val="7"/>
          </w:tcPr>
          <w:p>
            <w:pPr>
              <w:spacing w:after="0"/>
              <w:rPr>
                <w:sz w:val="18"/>
                <w:szCs w:val="18"/>
                <w:color w:val="auto"/>
              </w:rPr>
            </w:pPr>
          </w:p>
        </w:tc>
        <w:tc>
          <w:tcPr>
            <w:tcW w:w="5000" w:type="dxa"/>
            <w:vAlign w:val="bottom"/>
            <w:gridSpan w:val="4"/>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9"/>
          </w:tcPr>
          <w:p>
            <w:pPr>
              <w:spacing w:after="0"/>
              <w:rPr>
                <w:sz w:val="20"/>
                <w:szCs w:val="20"/>
                <w:color w:val="auto"/>
              </w:rPr>
            </w:pPr>
            <w:r>
              <w:rPr>
                <w:rFonts w:ascii="Arial" w:cs="Arial" w:eastAsia="Arial" w:hAnsi="Arial"/>
                <w:sz w:val="18"/>
                <w:szCs w:val="18"/>
                <w:color w:val="0000FF"/>
              </w:rPr>
              <w:t>PART II – OTHER INFORMATION</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1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Unregistered Sales of Equity Securities, Use of Proceeds, and Issuer Purchases of Equity Securities</w:t>
            </w:r>
          </w:p>
        </w:tc>
        <w:tc>
          <w:tcPr>
            <w:tcW w:w="2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8040" w:type="dxa"/>
            <w:vAlign w:val="bottom"/>
            <w:gridSpan w:val="14"/>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0000FF"/>
        </w:rPr>
        <w:t>Exhibit Index</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Fiserv,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Income</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(In millions, except per share data)</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(Unaudited)</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260" w:type="dxa"/>
            <w:vAlign w:val="bottom"/>
            <w:gridSpan w:val="4"/>
          </w:tcPr>
          <w:p>
            <w:pPr>
              <w:jc w:val="right"/>
              <w:ind w:right="103"/>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6"/>
                <w:szCs w:val="16"/>
                <w:b w:val="1"/>
                <w:bCs w:val="1"/>
                <w:color w:val="auto"/>
                <w:w w:val="89"/>
              </w:rPr>
              <w:t>September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40"/>
              <w:spacing w:after="0" w:line="216" w:lineRule="exact"/>
              <w:rPr>
                <w:sz w:val="20"/>
                <w:szCs w:val="20"/>
                <w:color w:val="auto"/>
              </w:rPr>
            </w:pPr>
            <w:r>
              <w:rPr>
                <w:rFonts w:ascii="Arial" w:cs="Arial" w:eastAsia="Arial" w:hAnsi="Arial"/>
                <w:sz w:val="16"/>
                <w:szCs w:val="16"/>
                <w:color w:val="auto"/>
              </w:rPr>
              <w:t xml:space="preserve">Processing and services </w:t>
            </w:r>
            <w:r>
              <w:rPr>
                <w:rFonts w:ascii="Arial" w:cs="Arial" w:eastAsia="Arial" w:hAnsi="Arial"/>
                <w:sz w:val="21"/>
                <w:szCs w:val="21"/>
                <w:color w:val="auto"/>
                <w:vertAlign w:val="superscript"/>
              </w:rPr>
              <w:t>(1)</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4,008</w:t>
            </w:r>
          </w:p>
        </w:tc>
        <w:tc>
          <w:tcPr>
            <w:tcW w:w="120" w:type="dxa"/>
            <w:vAlign w:val="bottom"/>
          </w:tcPr>
          <w:p>
            <w:pPr>
              <w:spacing w:after="0"/>
              <w:rPr>
                <w:sz w:val="18"/>
                <w:szCs w:val="18"/>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3,678</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11,605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10,738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Product</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2,571</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2,368</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revenue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4,873</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4,518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13,106</w:t>
            </w:r>
          </w:p>
        </w:tc>
        <w:tc>
          <w:tcPr>
            <w:tcW w:w="0" w:type="dxa"/>
            <w:vAlign w:val="bottom"/>
          </w:tcPr>
          <w:p>
            <w:pPr>
              <w:spacing w:after="0"/>
              <w:rPr>
                <w:sz w:val="1"/>
                <w:szCs w:val="1"/>
                <w:color w:val="auto"/>
              </w:rPr>
            </w:pPr>
          </w:p>
        </w:tc>
      </w:tr>
      <w:tr>
        <w:trPr>
          <w:trHeight w:val="199"/>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Arial" w:cs="Arial" w:eastAsia="Arial" w:hAnsi="Arial"/>
                <w:sz w:val="16"/>
                <w:szCs w:val="16"/>
                <w:color w:val="auto"/>
              </w:rPr>
              <w:t>Cost of processing and services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1,311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1,443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4,381</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product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w:t>
            </w: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Arial" w:cs="Arial" w:eastAsia="Arial" w:hAnsi="Arial"/>
                <w:sz w:val="16"/>
                <w:szCs w:val="16"/>
                <w:color w:val="auto"/>
              </w:rPr>
              <w:t>Selling, general and administrative</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1,652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1,547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4,560</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(gain) loss on sale of businesses and other assets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52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expenses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3,370</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3,663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10,545</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1,503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Interest expense, net</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46"/>
        </w:trPr>
        <w:tc>
          <w:tcPr>
            <w:tcW w:w="5280" w:type="dxa"/>
            <w:vAlign w:val="bottom"/>
          </w:tcPr>
          <w:p>
            <w:pPr>
              <w:spacing w:after="0" w:line="146" w:lineRule="exact"/>
              <w:rPr>
                <w:sz w:val="20"/>
                <w:szCs w:val="20"/>
                <w:color w:val="auto"/>
              </w:rPr>
            </w:pPr>
            <w:r>
              <w:rPr>
                <w:rFonts w:ascii="Arial" w:cs="Arial" w:eastAsia="Arial" w:hAnsi="Arial"/>
                <w:sz w:val="16"/>
                <w:szCs w:val="16"/>
                <w:color w:val="auto"/>
              </w:rPr>
              <w:t>Income before income taxes and (loss) income from investments in</w:t>
            </w: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w w:val="94"/>
              </w:rPr>
              <w:t>1,210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2,795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1,944</w:t>
            </w:r>
          </w:p>
        </w:tc>
        <w:tc>
          <w:tcPr>
            <w:tcW w:w="0" w:type="dxa"/>
            <w:vAlign w:val="bottom"/>
          </w:tcPr>
          <w:p>
            <w:pPr>
              <w:spacing w:after="0"/>
              <w:rPr>
                <w:sz w:val="1"/>
                <w:szCs w:val="1"/>
                <w:color w:val="auto"/>
              </w:rPr>
            </w:pPr>
          </w:p>
        </w:tc>
      </w:tr>
      <w:tr>
        <w:trPr>
          <w:trHeight w:val="209"/>
        </w:trPr>
        <w:tc>
          <w:tcPr>
            <w:tcW w:w="5280" w:type="dxa"/>
            <w:vAlign w:val="bottom"/>
          </w:tcPr>
          <w:p>
            <w:pPr>
              <w:ind w:left="180"/>
              <w:spacing w:after="0"/>
              <w:rPr>
                <w:sz w:val="20"/>
                <w:szCs w:val="20"/>
                <w:color w:val="auto"/>
              </w:rPr>
            </w:pPr>
            <w:r>
              <w:rPr>
                <w:rFonts w:ascii="Arial" w:cs="Arial" w:eastAsia="Arial" w:hAnsi="Arial"/>
                <w:sz w:val="16"/>
                <w:szCs w:val="16"/>
                <w:color w:val="auto"/>
              </w:rPr>
              <w:t>unconsolidated affiliates</w:t>
            </w: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(Loss) income from investments in unconsolidated affiliates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166"/>
        </w:trPr>
        <w:tc>
          <w:tcPr>
            <w:tcW w:w="5280" w:type="dxa"/>
            <w:vAlign w:val="bottom"/>
          </w:tcPr>
          <w:p>
            <w:pPr>
              <w:spacing w:after="0" w:line="166" w:lineRule="exact"/>
              <w:rPr>
                <w:sz w:val="20"/>
                <w:szCs w:val="20"/>
                <w:color w:val="auto"/>
              </w:rPr>
            </w:pPr>
            <w:r>
              <w:rPr>
                <w:rFonts w:ascii="Arial" w:cs="Arial" w:eastAsia="Arial" w:hAnsi="Arial"/>
                <w:sz w:val="16"/>
                <w:szCs w:val="16"/>
                <w:color w:val="auto"/>
              </w:rPr>
              <w:t>Less: net income attributable to noncontrolling interests and redeemable</w:t>
            </w: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noncontrolling interests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attributable to Fiserv, Inc.</w:t>
            </w:r>
          </w:p>
        </w:tc>
        <w:tc>
          <w:tcPr>
            <w:tcW w:w="84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Arial" w:cs="Arial" w:eastAsia="Arial" w:hAnsi="Arial"/>
                <w:sz w:val="16"/>
                <w:szCs w:val="16"/>
                <w:color w:val="auto"/>
              </w:rPr>
              <w:t>Basic</w:t>
            </w:r>
          </w:p>
        </w:tc>
        <w:tc>
          <w:tcPr>
            <w:tcW w:w="840" w:type="dxa"/>
            <w:vAlign w:val="bottom"/>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0.75</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w w:val="99"/>
              </w:rPr>
              <w:t>Shares used in computing net income attributable to Fiserv, Inc. per share: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340"/>
              <w:spacing w:after="0"/>
              <w:rPr>
                <w:sz w:val="20"/>
                <w:szCs w:val="20"/>
                <w:color w:val="auto"/>
              </w:rPr>
            </w:pPr>
            <w:r>
              <w:rPr>
                <w:rFonts w:ascii="Arial" w:cs="Arial" w:eastAsia="Arial" w:hAnsi="Arial"/>
                <w:sz w:val="16"/>
                <w:szCs w:val="16"/>
                <w:color w:val="auto"/>
              </w:rPr>
              <w:t>Basic</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606.2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639.6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645.2</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610.3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645.0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hanging="328"/>
        <w:spacing w:after="0" w:line="230" w:lineRule="auto"/>
        <w:tabs>
          <w:tab w:leader="none" w:pos="648" w:val="left"/>
        </w:tabs>
        <w:numPr>
          <w:ilvl w:val="0"/>
          <w:numId w:val="3"/>
        </w:numPr>
        <w:rPr>
          <w:rFonts w:ascii="Arial" w:cs="Arial" w:eastAsia="Arial" w:hAnsi="Arial"/>
          <w:sz w:val="21"/>
          <w:szCs w:val="21"/>
          <w:b w:val="1"/>
          <w:bCs w:val="1"/>
          <w:color w:val="auto"/>
          <w:vertAlign w:val="superscript"/>
        </w:rPr>
      </w:pPr>
      <w:r>
        <w:rPr>
          <w:rFonts w:ascii="Arial" w:cs="Arial" w:eastAsia="Arial" w:hAnsi="Arial"/>
          <w:sz w:val="16"/>
          <w:szCs w:val="16"/>
          <w:color w:val="auto"/>
        </w:rPr>
        <w:t>Includes processing and other fees charged to related party investments accounted for under the equity method of $45 million and $51 million for the three months ended September 30, 2023 and 2022, respectively, and $136 million and $151 million for the nine months ended September 30, 2023 and 2022, respectively (see Note 19).</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22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224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3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26"/>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market value adjustment on derivatives</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8"/>
        </w:trPr>
        <w:tc>
          <w:tcPr>
            <w:tcW w:w="5300" w:type="dxa"/>
            <w:vAlign w:val="bottom"/>
          </w:tcPr>
          <w:p>
            <w:pPr>
              <w:ind w:left="220"/>
              <w:spacing w:after="0" w:line="189" w:lineRule="exact"/>
              <w:rPr>
                <w:sz w:val="20"/>
                <w:szCs w:val="20"/>
                <w:color w:val="auto"/>
              </w:rPr>
            </w:pPr>
            <w:r>
              <w:rPr>
                <w:rFonts w:ascii="Arial" w:cs="Arial" w:eastAsia="Arial" w:hAnsi="Arial"/>
                <w:sz w:val="18"/>
                <w:szCs w:val="18"/>
                <w:color w:val="auto"/>
              </w:rPr>
              <w:t>Reclassification adjustment for net realized losses on cash flow</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Arial" w:cs="Arial" w:eastAsia="Arial" w:hAnsi="Arial"/>
                <w:sz w:val="18"/>
                <w:szCs w:val="18"/>
                <w:color w:val="auto"/>
              </w:rPr>
              <w:t>hedges included in cost of processing and services</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53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Reclassification adjustment for net realized losses on cash flow</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hedges included in net interest expense</w:t>
            </w:r>
          </w:p>
        </w:tc>
        <w:tc>
          <w:tcPr>
            <w:tcW w:w="8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Tax impacts of derivatives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defined benefit pension plans</w:t>
            </w:r>
          </w:p>
        </w:tc>
        <w:tc>
          <w:tcPr>
            <w:tcW w:w="8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Tax impacts of defined benefit pension plans</w:t>
            </w:r>
          </w:p>
        </w:tc>
        <w:tc>
          <w:tcPr>
            <w:tcW w:w="82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188"/>
        </w:trPr>
        <w:tc>
          <w:tcPr>
            <w:tcW w:w="5300" w:type="dxa"/>
            <w:vAlign w:val="bottom"/>
          </w:tcPr>
          <w:p>
            <w:pPr>
              <w:ind w:left="220"/>
              <w:spacing w:after="0" w:line="189" w:lineRule="exact"/>
              <w:rPr>
                <w:sz w:val="20"/>
                <w:szCs w:val="20"/>
                <w:color w:val="auto"/>
              </w:rPr>
            </w:pPr>
            <w:r>
              <w:rPr>
                <w:rFonts w:ascii="Arial" w:cs="Arial" w:eastAsia="Arial" w:hAnsi="Arial"/>
                <w:sz w:val="18"/>
                <w:szCs w:val="18"/>
                <w:color w:val="auto"/>
              </w:rPr>
              <w:t>Reclassification adjustment for accumulated foreign currency</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00" w:type="dxa"/>
            <w:vAlign w:val="bottom"/>
          </w:tcPr>
          <w:p>
            <w:pPr>
              <w:ind w:left="460"/>
              <w:spacing w:after="0" w:line="176" w:lineRule="exact"/>
              <w:rPr>
                <w:sz w:val="20"/>
                <w:szCs w:val="20"/>
                <w:color w:val="auto"/>
              </w:rPr>
            </w:pPr>
            <w:r>
              <w:rPr>
                <w:rFonts w:ascii="Arial" w:cs="Arial" w:eastAsia="Arial" w:hAnsi="Arial"/>
                <w:sz w:val="18"/>
                <w:szCs w:val="18"/>
                <w:color w:val="auto"/>
                <w:w w:val="92"/>
              </w:rPr>
              <w:t>translation impacts from the sale of foreign entities included in net</w:t>
            </w:r>
          </w:p>
        </w:tc>
        <w:tc>
          <w:tcPr>
            <w:tcW w:w="8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Arial" w:cs="Arial" w:eastAsia="Arial" w:hAnsi="Arial"/>
                <w:sz w:val="18"/>
                <w:szCs w:val="18"/>
                <w:color w:val="auto"/>
              </w:rPr>
              <w:t>(gain) loss on sale of businesses and other assets</w:t>
            </w:r>
          </w:p>
        </w:tc>
        <w:tc>
          <w:tcPr>
            <w:tcW w:w="82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impacts of foreign currency translation</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comprehensive income (loss)</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82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188"/>
        </w:trPr>
        <w:tc>
          <w:tcPr>
            <w:tcW w:w="5300" w:type="dxa"/>
            <w:vAlign w:val="bottom"/>
          </w:tcPr>
          <w:p>
            <w:pPr>
              <w:ind w:left="220"/>
              <w:spacing w:after="0" w:line="189" w:lineRule="exact"/>
              <w:rPr>
                <w:sz w:val="20"/>
                <w:szCs w:val="20"/>
                <w:color w:val="auto"/>
              </w:rPr>
            </w:pPr>
            <w:r>
              <w:rPr>
                <w:rFonts w:ascii="Arial" w:cs="Arial" w:eastAsia="Arial" w:hAnsi="Arial"/>
                <w:sz w:val="18"/>
                <w:szCs w:val="18"/>
                <w:color w:val="auto"/>
              </w:rPr>
              <w:t>Less: net income attributable to noncontrolling interests and</w:t>
            </w: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460"/>
              <w:spacing w:after="0"/>
              <w:rPr>
                <w:sz w:val="20"/>
                <w:szCs w:val="20"/>
                <w:color w:val="auto"/>
              </w:rPr>
            </w:pPr>
            <w:r>
              <w:rPr>
                <w:rFonts w:ascii="Arial" w:cs="Arial" w:eastAsia="Arial" w:hAnsi="Arial"/>
                <w:sz w:val="18"/>
                <w:szCs w:val="18"/>
                <w:color w:val="auto"/>
              </w:rPr>
              <w:t>redeemable noncontrolling interests</w:t>
            </w:r>
          </w:p>
        </w:tc>
        <w:tc>
          <w:tcPr>
            <w:tcW w:w="8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Less: other comprehensive loss attributable to 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Fiserv, Inc.</w:t>
            </w:r>
          </w:p>
        </w:tc>
        <w:tc>
          <w:tcPr>
            <w:tcW w:w="82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7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199"/>
        </w:trPr>
        <w:tc>
          <w:tcPr>
            <w:tcW w:w="784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 less allowance for doubtful accounts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1,575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21,482</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28,581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27,544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8,424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3,991</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36,836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36,811</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costs,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84,154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83,869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3,590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3,883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and current maturities of 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21,482</w:t>
            </w:r>
          </w:p>
        </w:tc>
      </w:tr>
      <w:tr>
        <w:trPr>
          <w:trHeight w:val="206"/>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26,629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26,458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3,602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53,768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52,181</w:t>
            </w: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18)</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Fiserv, Inc. Shareholders’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no par value: 25 million shares authorized; none issued</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Common stock, $0.01 par value: 1,800 million shares authorized; 784 million shares issued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23,011</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stock, at cost, 182 million and 154 million shares, respectively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(8,378)</w:t>
            </w:r>
          </w:p>
        </w:tc>
      </w:tr>
      <w:tr>
        <w:trPr>
          <w:trHeight w:val="21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Fiserv, Inc.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29,573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30,828</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31,527</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84,154</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83,869</w:t>
            </w: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Nine Months Ended</w:t>
      </w:r>
    </w:p>
    <w:p>
      <w:pPr>
        <w:jc w:val="center"/>
        <w:ind w:left="774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2,240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gain on sale of businesses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Loss (income)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Other operating activities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Trade accounts receivable</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Contract costs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78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Contract liabilities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r>
      <w:tr>
        <w:trPr>
          <w:trHeight w:val="193"/>
        </w:trPr>
        <w:tc>
          <w:tcPr>
            <w:tcW w:w="78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proceeds from sale of businesses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acquisition of businesses, net of cash acquired</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Proceeds from sale of investments</w:t>
            </w:r>
          </w:p>
        </w:tc>
        <w:tc>
          <w:tcPr>
            <w:tcW w:w="10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5,188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(repayments of) proceeds from commercial paper and short-term borrowings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2,020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debt financing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Proceeds from issuance of treasury stock</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(1,909)</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Settlement activity, net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Payment to acquire noncontrolling interest of consolidated subsidiary</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acquisition-related contingent consideration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balance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3,205</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ending balance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consolidated financial statements for the three and nine months ended September 30, 2023 and 2022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(loss)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and are stated at cost in the consolidated balance sheets, which approximates market value. Cash and cash equivalents that were restricted from use due to regulatory or other requirements are included in other long-term assets in the consolidated balance sheets. Cash and cash equivalents held on behalf of merchants and other payees are included in settlement assets in the consolidated balance sheets.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changes in settlement cash and cash equivalents are included in settlement activity, net within cash flows from financing activities in the consolidated statements of cash flows. The following table provides a reconciliation between cash and cash equivalents on the consolidated balance sheets and the consolidated statements of cash flows at: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180" w:type="dxa"/>
            <w:vAlign w:val="bottom"/>
          </w:tcPr>
          <w:p>
            <w:pPr>
              <w:spacing w:after="0"/>
              <w:rPr>
                <w:sz w:val="17"/>
                <w:szCs w:val="17"/>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2022</w:t>
            </w:r>
          </w:p>
        </w:tc>
        <w:tc>
          <w:tcPr>
            <w:tcW w:w="160" w:type="dxa"/>
            <w:vAlign w:val="bottom"/>
          </w:tcPr>
          <w:p>
            <w:pPr>
              <w:spacing w:after="0"/>
              <w:rPr>
                <w:sz w:val="17"/>
                <w:szCs w:val="17"/>
                <w:color w:val="auto"/>
              </w:rPr>
            </w:pPr>
          </w:p>
        </w:tc>
        <w:tc>
          <w:tcPr>
            <w:tcW w:w="18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on the consolidated balance sheets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r>
      <w:tr>
        <w:trPr>
          <w:trHeight w:val="310"/>
        </w:trPr>
        <w:tc>
          <w:tcPr>
            <w:tcW w:w="2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 included in settlement assets</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2,475</w:t>
            </w:r>
          </w:p>
        </w:tc>
      </w:tr>
      <w:tr>
        <w:trPr>
          <w:trHeight w:val="229"/>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20" w:type="dxa"/>
            <w:vAlign w:val="bottom"/>
          </w:tcPr>
          <w:p>
            <w:pPr>
              <w:spacing w:after="0"/>
              <w:rPr>
                <w:sz w:val="17"/>
                <w:szCs w:val="17"/>
                <w:color w:val="auto"/>
              </w:rPr>
            </w:pPr>
          </w:p>
        </w:tc>
        <w:tc>
          <w:tcPr>
            <w:tcW w:w="5160" w:type="dxa"/>
            <w:vAlign w:val="bottom"/>
            <w:gridSpan w:val="2"/>
          </w:tcPr>
          <w:p>
            <w:pPr>
              <w:ind w:left="220"/>
              <w:spacing w:after="0" w:line="196" w:lineRule="exact"/>
              <w:rPr>
                <w:sz w:val="20"/>
                <w:szCs w:val="20"/>
                <w:color w:val="auto"/>
              </w:rPr>
            </w:pPr>
            <w:r>
              <w:rPr>
                <w:rFonts w:ascii="Arial" w:cs="Arial" w:eastAsia="Arial" w:hAnsi="Arial"/>
                <w:sz w:val="18"/>
                <w:szCs w:val="18"/>
                <w:color w:val="auto"/>
                <w:w w:val="92"/>
              </w:rPr>
              <w:t>Total cash and cash equivalents on the consolidated statements of</w:t>
            </w: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analyzes the collectability of trade accounts receivable by considering historical bad debts and issued client credits,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$83 million and $52 million at September 30, 2023 and December 31, 2022,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17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Prepaid expenses represent advance payments for goods and services to be consumed in the future, such as maintenance, postage and insurance, and totaled $459 million and $431 million at September 30, 2023 and December 31, 2022, respectively. Other current assets, including Clover Capital cash advances and settlement advance cash payments, totaled $1,527 million and $1,144 million at September 30, 2023 and December 31, 2022, respectively.</w:t>
      </w:r>
    </w:p>
    <w:p>
      <w:pPr>
        <w:spacing w:after="0" w:line="9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offers merchants advance access to capital through its Clover Capital cash advance program. Under this program, merchants sell fixed amounts of their future credit card receivables to the Company in exchange for an up-front purchase price payment. Future credit card receivables purchased by the Company under the Clover Capital program were $241 million and $164 million at September 30, 2023 and December 31, 2022, respectively. The Company maintained a reserve of $10 million and $7 million at September 30, 2023 and December 31, 2022, respectively, based on an estimate of uncollectible amounts.</w:t>
      </w:r>
    </w:p>
    <w:p>
      <w:pPr>
        <w:spacing w:after="0" w:line="1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also offers merchants within its international operations advance access to capital by providing them the opportunity to receive settlement cash payments in advance in exchange for their receivables, including when the cardholders have elected to pay such merchants over time in installments. The Company maintains short-term lines of credit with foreign banks and alliance partners to fund such anticipated settlement activity (see Note 10). These local functional currency arrangements are primarily associated with the Company’s operations in Latin America, the most significant of which are denominated in Argentine peso and Brazilian real. The Company’s outstanding cash advances from card issuers related to this settlement funding activity were $508 million and $264 million at September 30, 2023 and December 31,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Settlement assets and obligations represent intermediary balances arising from the settlement process which involves the transferring of funds between card issuers, payment networks, processors, merchants and consumers, and collateral amounts held to manage merchant credit risk, primarily associated with the Company’s merchant acquiring services. As a processor, the Company facilitates the clearing and settlement activity for the merchant and records settlement assets and obligations upon processing a payment transaction. Settlement assets represent cash received or amounts receivable from agents, payment networks, bank partners, merchants or direct consumers. Settlement obligations represent amounts payable to merchants and payees.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Merchant Credit Losses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 The aggregate merchant credit loss expense, recognized by the Company within cost of processing and services in the consolidated statements of income, was $25 million and $18 million for the three months ended September 30, 2023 and 2022, respectively, and $62 million and $46 million for the nine months ended September 30, 2023 and 2022, respectively.</w:t>
      </w:r>
    </w:p>
    <w:p>
      <w:pPr>
        <w:spacing w:after="0" w:line="13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maintains an allowance for merchant credit losses that are expected to exceed the amount of merchant collateral. The amount of collateral available to the Company was $0.9 billion and $1.5 billion at September 30, 2023 and December 31, 2022, respectively.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$35 million and $29 million at September 30, 2023 and December 31, 2022,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2022 determined that its goodwill was not impaired as the estimated fair values exceeded the carrying values. However, it is reasonably possible that future developments related to the interest or currency exchange rate environments; a shift in strategic initiatives; a deterioration in financial performance within a particular reporting unit; or significant changes in the composition of, or assumptions used in, the quantitative test on certain of the Company’s reporting units (such as an increase in risk-adjusted discount rates) could have a future material impact on one or more of the estimates and assumptions used to evaluate goodwill impairment. Additionally, a significant change in a merchant alliance business relationship or operating performance could result in a material goodwill impairment charge. There is no accumulated goodwill impairment for the Company through September 30, 2023.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17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maintains investments, over which it does not have significant influence, in various equity securities without a readily determinable fair value. Such investments totaled $138 million and $135 million at September 30, 2023 and December 31, 2022,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net in the consolidated statements of income for the period. Adjustments made to the values recorded for certain equity securities and gains and losses from sales of equity securities during the three and nine months ended September 30, 2023 and 2022, were not significant.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U.S. dollar is the functional currency of the Company’s U.S.-based businesses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as foreign currency translation within accumulated other comprehensive loss in the consolidated balance sheets. The remeasurement of monetary assets and liabilities in highly inflationary economies, primarily Argentina, resulted in foreign currency exchange losses of $38 million and $14 million for the three months ended September 30, 2023 and 2022, respectively, and $88 million and $31 million for the nine months ended September 30, 2023 and 2022, respectively, which is included within other expense, net within the consolidated statements of income.</w:t>
      </w:r>
    </w:p>
    <w:p>
      <w:pPr>
        <w:spacing w:after="0" w:line="1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Foreign currency transaction gains or losses on the qualifying net investment hedge instruments are recorded as foreign currency translation, net of tax, within other comprehensive income (loss) in the consolidated statements of comprehensive income (loss) and will remain in accumulated other comprehensive loss within the consolidated balance sheets until the sale or complete liquidation of the underlying foreign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 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7"/>
          <w:szCs w:val="17"/>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640" w:type="dxa"/>
            <w:vAlign w:val="bottom"/>
            <w:gridSpan w:val="4"/>
          </w:tcPr>
          <w:p>
            <w:pPr>
              <w:jc w:val="right"/>
              <w:ind w:right="150"/>
              <w:spacing w:after="0" w:line="182" w:lineRule="exact"/>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20" w:type="dxa"/>
            <w:vAlign w:val="bottom"/>
            <w:gridSpan w:val="4"/>
          </w:tcPr>
          <w:p>
            <w:pPr>
              <w:jc w:val="right"/>
              <w:ind w:right="730"/>
              <w:spacing w:after="0" w:line="182" w:lineRule="exact"/>
              <w:rPr>
                <w:sz w:val="20"/>
                <w:szCs w:val="20"/>
                <w:color w:val="auto"/>
              </w:rPr>
            </w:pPr>
            <w:r>
              <w:rPr>
                <w:rFonts w:ascii="Arial" w:cs="Arial" w:eastAsia="Arial" w:hAnsi="Arial"/>
                <w:sz w:val="18"/>
                <w:szCs w:val="18"/>
                <w:b w:val="1"/>
                <w:bCs w:val="1"/>
                <w:color w:val="auto"/>
              </w:rPr>
              <w:t>Nine Months Ended</w:t>
            </w: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0"/>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490"/>
              <w:spacing w:after="0" w:line="187"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jc w:val="right"/>
              <w:ind w:right="490"/>
              <w:spacing w:after="0" w:line="187" w:lineRule="exact"/>
              <w:rPr>
                <w:sz w:val="20"/>
                <w:szCs w:val="20"/>
                <w:color w:val="auto"/>
              </w:rPr>
            </w:pPr>
            <w:r>
              <w:rPr>
                <w:rFonts w:ascii="Arial" w:cs="Arial" w:eastAsia="Arial" w:hAnsi="Arial"/>
                <w:sz w:val="18"/>
                <w:szCs w:val="18"/>
                <w:b w:val="1"/>
                <w:bCs w:val="1"/>
                <w:color w:val="auto"/>
                <w:w w:val="99"/>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311"/>
        </w:trPr>
        <w:tc>
          <w:tcPr>
            <w:tcW w:w="2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4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2022, the Financial Accounting Standards Board (“FASB”) issued Accounting Standards Update (“ASU”) No. 2022-02,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Troubled Debt Restructurings and Vintage Disclosures </w:t>
      </w:r>
      <w:r>
        <w:rPr>
          <w:rFonts w:ascii="Arial" w:cs="Arial" w:eastAsia="Arial" w:hAnsi="Arial"/>
          <w:sz w:val="17"/>
          <w:szCs w:val="17"/>
          <w:color w:val="auto"/>
        </w:rPr>
        <w:t>(“ASU 2022-02”), which among other items, requires that entities disclose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current-period gross write-offs by year of origination for financing receivables and net investments in leases. For public entities, the provisions within ASU 2022-02 are to be applied prospectively and are effective for fiscal years beginning after December 15, 2022, including interim periods within those fiscal years. The Company adopted ASU 2022-02 effective January 1, 2023, and the adoption did not have a material impact on the Company’s financial statement disclosures for the nine months ended September 30, 2023.</w:t>
      </w:r>
    </w:p>
    <w:p>
      <w:pPr>
        <w:spacing w:after="0" w:line="1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In 2022, the FASB issued ASU No. 2022-03,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 of Equity Securities Subject to Contractual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Sale Restrictions </w:t>
      </w:r>
      <w:r>
        <w:rPr>
          <w:rFonts w:ascii="Arial" w:cs="Arial" w:eastAsia="Arial" w:hAnsi="Arial"/>
          <w:sz w:val="17"/>
          <w:szCs w:val="17"/>
          <w:color w:val="auto"/>
        </w:rPr>
        <w:t>(“ASU 2022-03”), which clarifies the guidance in Accounting Standards Codification (“ASC”) Topic 820,</w:t>
      </w:r>
      <w:r>
        <w:rPr>
          <w:rFonts w:ascii="Arial" w:cs="Arial" w:eastAsia="Arial" w:hAnsi="Arial"/>
          <w:sz w:val="17"/>
          <w:szCs w:val="17"/>
          <w:i w:val="1"/>
          <w:iCs w:val="1"/>
          <w:color w:val="auto"/>
        </w:rPr>
        <w:t xml:space="preserve"> Fair Value Measurement </w:t>
      </w:r>
      <w:r>
        <w:rPr>
          <w:rFonts w:ascii="Arial" w:cs="Arial" w:eastAsia="Arial" w:hAnsi="Arial"/>
          <w:sz w:val="17"/>
          <w:szCs w:val="17"/>
          <w:color w:val="auto"/>
        </w:rPr>
        <w:t>(“Topic 820”), 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recognized in earnings and disclosed on the date of adoption. The adoption of ASU 2022-03 is not expected to have a material impact on the Company’s consolidated financial statements or disclosures.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Company’s operations are comprised of the Merchant Acceptance (“Acceptance”) segment, the Financial Technology (“Fintech”) segment and the Payments and Network (“Payments”) segment. Additional information regarding the Company’s business segments is included in Note 20. The tables below present the Company’s revenue disaggregated by type of revenue, including a reconciliation with its reportable segments. The majority of the Company’s revenue is earned domestically, with revenue generated outside the U.S. comprising approximately 15% and 14% of total revenue for the three months ended September 30, 2023 and 2022, respectively, and 14% of total revenue for each of the nine months ended September 30, 2023 and 2022.</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7"/>
              </w:rPr>
              <w:t>Reportable Segments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1,796</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1,237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1,586</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7"/>
              </w:rPr>
              <w:t>Reportable Segments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2"/>
              </w:rPr>
              <w:t>Corporate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and Other</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5,122</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3,637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Processing</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4,649</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3,486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1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18"/>
                <w:szCs w:val="18"/>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30"/>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860</w:t>
            </w:r>
          </w:p>
        </w:tc>
      </w:tr>
    </w:tbl>
    <w:p>
      <w:pPr>
        <w:spacing w:after="0" w:line="22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$539 million of revenue during the nine months ended September 30, 2023 that was included in the contract liabilities balance at the beginning of the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were unsatisfied (or partially unsatisfied) at September 30, 2023:</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2,226</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r>
    </w:tbl>
    <w:p>
      <w:pPr>
        <w:spacing w:after="0" w:line="24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Company applies the optional exemption under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Acquisitions were accounted for as business combinations using the acquisition method of accounting in accordance with ASC Topic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Purchase price was allocated to the respective identifiable assets acquired and liabilities assumed based on the estimated fair values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the aggregate, on the Company’s consolidated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Merchant One</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December 20, 2022, the Company acquired Merchant One, Inc. (“Merchant One”), an independent sales organization focused on acquiring merchants in the restaurant, retail and e-commerce industries using an innovative mix of direct and digital marketing strategies, for $302 million, net of $1 million of acquired cash. Merchant One is included within the Acceptance segment and enhances the Company’s merchant distribution and sales force channels.</w:t>
      </w:r>
    </w:p>
    <w:p>
      <w:pPr>
        <w:spacing w:after="0" w:line="9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During the nine months ended September 30, 2023, the Company identified and recorded measurement period adjustments to the preliminary Merchant One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$61 million and a corresponding decrease in identifiable intangible assets, including customer relationships. Such measurement period adjustments did not have a material impact on the Company’s consolidated statement of income. The allocation of the purchase price was finalized in the second quarter of 2023 and resulted in the recognition of identifiable intangible assets of $118 million, goodwill of $179 million and other net assets of $6 million. Goodwill, which is deductible for tax purposes, is primarily attributed to the anticipated value created by expanding the reach of the Clover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cloud-based POS and business management platform, and select value-added services that enable the Company to deliver new and innovative capabilities to Merchant One’s clients.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952"/>
        </w:trPr>
        <w:tc>
          <w:tcPr>
            <w:tcW w:w="6660" w:type="dxa"/>
            <w:vAlign w:val="bottom"/>
            <w:gridSpan w:val="4"/>
          </w:tcPr>
          <w:p>
            <w:pPr>
              <w:spacing w:after="0"/>
              <w:rPr>
                <w:sz w:val="20"/>
                <w:szCs w:val="20"/>
                <w:color w:val="auto"/>
              </w:rPr>
            </w:pPr>
            <w:r>
              <w:rPr>
                <w:rFonts w:ascii="Arial" w:cs="Arial" w:eastAsia="Arial" w:hAnsi="Arial"/>
                <w:sz w:val="18"/>
                <w:szCs w:val="18"/>
                <w:color w:val="auto"/>
              </w:rPr>
              <w:t>The amounts allocated to identifiable intangible assets are as follows: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9"/>
              </w:rPr>
              <w:t>Weighted-Average Useful</w:t>
            </w:r>
          </w:p>
        </w:tc>
      </w:tr>
      <w:tr>
        <w:trPr>
          <w:trHeight w:val="203"/>
        </w:trPr>
        <w:tc>
          <w:tcPr>
            <w:tcW w:w="20" w:type="dxa"/>
            <w:vAlign w:val="bottom"/>
          </w:tcPr>
          <w:p>
            <w:pPr>
              <w:spacing w:after="0"/>
              <w:rPr>
                <w:sz w:val="17"/>
                <w:szCs w:val="17"/>
                <w:color w:val="auto"/>
              </w:rPr>
            </w:pPr>
          </w:p>
        </w:tc>
        <w:tc>
          <w:tcPr>
            <w:tcW w:w="66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Life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Residual buyouts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10 years</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Finxact</w:t>
      </w:r>
    </w:p>
    <w:p>
      <w:pPr>
        <w:spacing w:after="0" w:line="25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April 1, 2022, the Company acquired a remaining ownership interest in Finxact, Inc. (“Finxact”), a developer of cloud-native banking solutions powering digital transformation throughout the financial services sector, for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$110 million, included within income from investments in unconsolidated affiliates in the consolidated statement of income during the nine months ended September 30, 2022. Finxact is included within the Fintech segment and advances the Company’s digital banking strategy, expanding its account processing, digital, and payments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purchase price recorded for Finxact was finalized in the fourth quarter of 2022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Goodwill</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Goodwill, which is not deductible for tax purposes, is primarily attributed to the anticipated value created by the combined scale, core platform modernization, and accelerated delivery of enhanced digital banking solutions offered to financial institutions of all sizes. The amounts allocated to identifiable intangible assets were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r>
      <w:tr>
        <w:trPr>
          <w:trHeight w:val="194"/>
        </w:trPr>
        <w:tc>
          <w:tcPr>
            <w:tcW w:w="2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6"/>
                <w:szCs w:val="16"/>
                <w:color w:val="auto"/>
              </w:rPr>
            </w:pPr>
          </w:p>
        </w:tc>
        <w:tc>
          <w:tcPr>
            <w:tcW w:w="22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9"/>
              </w:rPr>
              <w:t>Life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December 29, 2022, the Company acquired OrangeData S.A. (“Yacaré”), an Argentina-based payment service provider that enables customers to transact at merchant locations using QR codes. Yacaré is included within the Acceptance segment and enhances the Company’s instant payment transaction capabilities. On September 1, 2022, the Company acquired NexTable, Inc. (“NexTable”), a provider of cloud-based reservation and table management solutions for restaurants. NexTable is included within the Acceptance segment and expands the Company’s end-to-end restaurant solutions. On June 1, 2022, the Company acquired The LR2 Group, LLC (“City POS”), an independent sales organization that promotes payment processing services and facilitates the sale of POS equipment for merchants. City POS is included within the Acceptance segment and expands the Company’s merchant services business. The Company acquired these businesses for an aggregate purchase price of $44 million, including earn-out provisions estimated at a fair value of $6 million (see Note 8). The allocation of purchase price for these acquisitions resulted in the recognition of identifiable intangible assets of $23 million, goodwill of $22 million and other net assumed liabilities of $1 million. The purchase price allocations for the CityPOS and NexTable acquisitions were finalized in the third and fourth quarters of 2022, respectively. The purchase price allocation for the Yacaré acquisition was finalized in the second quarter of 2023. Measurement period adjustments did not have a material impact on the Company’s consolidated statements of income. Goodwill for these acquisitions, of which $17 million is deductible for tax purposes, is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primarily attributed to the value created by expanding the reach of the Company’s payment solutions and enhancing omnichannel capabilities.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amounts allocated to identifiable intangible assets for other acquisitions acquired in 2022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Life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10 years</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Financial Reconciliation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On July 25, 2023, the Company sold its financial reconciliation business, which was reported within the Fintech segment, for cash proceeds of</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$232 million, subject to final net working capital adjustments. The Company recognized a pre-tax gain of $177 million on the sale, recorded within net (gain) loss on sale of businesses and other assets, with a related tax expense of $49 million recorded within the income tax provision, in the consolidated statement of income during the three months ended September 30, 2023. The pre-tax gain was comprised of the difference between the consideration received and the net carrying amount of the business, including $38 million of allocated goodwill and $13 million of other net assets, primarily consisting of trade accounts receivable and capitalized software.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Fiserv Costa Rica and Systems Integration Services</w:t>
      </w:r>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October 17, 2022, the Company sold Fiserv Costa Rica, S.A. and its Systems Integration Services (“SIS”) operations, which provides information technology engineering services in the U.S. and India, to a single buyer, for an aggregate sales price of $49 million. The Company recognized a pre-tax gain of $44 million on the sales, recorded within net (gain) loss on sale of businesses and other assets, with a related tax expense of $8 million recorded within the income tax provision, in the consolidated statement of income for the year ended December 31, 2022. The Company recognized a pre-tax loss of $3 million, recorded within net (gain) loss on sale of businesses and other assets during the nine months ended September 30, 2023, associated with final working capital adjustments related to the disposition of Fiserv Costa Rica, S.A. Fiserv Costa Rica, S.A. and SIS were reported primarily within the Fintech segment.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 of Korea Operations</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September 30, 2022, the Company sold its Korea operations, which were reported within the Acceptance segment, for total consideration of $50 million, consisting of $43 million in net cash and an equity interest in the buyer of $7 million. The Company recognized a pre-tax loss of $120 million on the sale, recorded within net (gain) loss on sale of businesses and other assets in the consolidated statement of income during the three months ended September 30, 2022. The loss was comprised of the difference between the consideration received and the net carrying amount of the business, including $40 million of allocated goodwill, $48 million of customer relationship net intangible assets and $56 million of accumulated foreign currency translation losses, which were reclassified from accumulated other comprehensive loss.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60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060" w:type="dxa"/>
            <w:vAlign w:val="bottom"/>
            <w:gridSpan w:val="4"/>
          </w:tcPr>
          <w:p>
            <w:pPr>
              <w:spacing w:after="0"/>
              <w:rPr>
                <w:sz w:val="20"/>
                <w:szCs w:val="20"/>
                <w:color w:val="auto"/>
              </w:rPr>
            </w:pPr>
            <w:r>
              <w:rPr>
                <w:rFonts w:ascii="Arial" w:cs="Arial" w:eastAsia="Arial" w:hAnsi="Arial"/>
                <w:sz w:val="18"/>
                <w:szCs w:val="18"/>
                <w:b w:val="1"/>
                <w:bCs w:val="1"/>
                <w:color w:val="auto"/>
              </w:rPr>
              <w:t>5. Intangible Assets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gridSpan w:val="4"/>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24"/>
                <w:szCs w:val="24"/>
                <w:color w:val="auto"/>
              </w:rPr>
            </w:pPr>
          </w:p>
        </w:tc>
        <w:tc>
          <w:tcPr>
            <w:tcW w:w="15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24"/>
                <w:szCs w:val="24"/>
                <w:color w:val="auto"/>
              </w:rPr>
            </w:pPr>
          </w:p>
        </w:tc>
        <w:tc>
          <w:tcPr>
            <w:tcW w:w="13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Net Book</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7"/>
                <w:szCs w:val="17"/>
                <w:color w:val="auto"/>
              </w:rPr>
            </w:pPr>
          </w:p>
        </w:tc>
        <w:tc>
          <w:tcPr>
            <w:tcW w:w="154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17"/>
                <w:szCs w:val="17"/>
                <w:color w:val="auto"/>
              </w:rPr>
            </w:pPr>
          </w:p>
        </w:tc>
        <w:tc>
          <w:tcPr>
            <w:tcW w:w="138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September 30, 2023</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14,607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7,307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December 31, 2022</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14,795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6,371</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60" w:type="dxa"/>
            <w:vAlign w:val="bottom"/>
            <w:gridSpan w:val="4"/>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41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September 30,</w:t>
            </w:r>
          </w:p>
        </w:tc>
        <w:tc>
          <w:tcPr>
            <w:tcW w:w="52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8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
              <w:spacing w:after="0" w:line="187"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2023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1,788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Affiliates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(loss) income from investments in unconsolidated affiliates and the related tax expense or benefit is reported within the income tax provision in the consolidated statements of income. The Company reviews its equity method investments each reporting period for indications of an other-than-temporary deterioration in value. A deterioration in value of an equity method investment determined to be other-than-temporary is recorded as a current-period impairment charge within (loss) income from investments in unconsolidated affiliates in the consolidated statements of income.</w:t>
      </w:r>
    </w:p>
    <w:p>
      <w:pPr>
        <w:spacing w:after="0" w:line="12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maintains noncontrolling ownership interests in Sagent M&amp;C, LLC (“Sagent”) and defi SOLUTIONS Group, LLC (collectively the “Lending Joint Ventures”), which are accounted for under the equity method. In March 2022,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net pre-tax gain of $80 million within (loss) income from investments in unconsolidated affiliates, with related tax expense of $19 million recorded through the income tax provision, in the consolidated statement of income during the nine months ended September 30, 2022. The Company’s remaining noncontrolling ownership interest in Sagent continues to be accounted for as an equity method investment.</w:t>
      </w:r>
    </w:p>
    <w:p>
      <w:pPr>
        <w:spacing w:after="0" w:line="14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Lending Joint Ventures maintain, as amended in April 2022, variable-rate term loan facilities with aggregate outstanding borrowings of $437 million in senior unsecured debt at September 30, 2023 and variable-rate revolving credit facilities with an aggregate borrowing capacity of $83 million with a syndicate of banks, which mature in April 2027. There were $45 million of aggregate outstanding borrowings on the revolving credit facilities at September 30, 2023. The Company has guaranteed the debt of the Lending Joint Ventures and does not anticipate that the Lending Joint Ventures will fail to fulfill their debt obligations (see Note 8).</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Hedging Instruments</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order to limit exposure to risk, the Company maintains derivative instruments with creditworthy institutions to hedge against changing interest rates and foreign currency rate fluctuations. The Company utilizes forward exchange contracts, fixed-to-fixed cross-currency rate swap contracts and other non-derivative hedging instruments to manage such risk. The Company has designated these instruments as cash flow hedges, net investment hedges, or fair value hedges, as further described below. Derivative instruments maintained by the Company are measured on a recurring basis and are recorded at fair value either as an asset or liability in the consolidated balance sheets (see Note 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7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maintains forward exchange contracts, designated as cash flow hedges, to hedge foreign currency exposure to the Indian Rupee. The notional amount of these derivatives was $396 million and $346 million at September 30, 2023 and December 31, 2022, respectively. Based on the amounts recorded in accumulated other comprehensive loss at September 30, 2023, the Company estimates that it will recognize gains of approximately $1 million in cost of processing and services during the next twelve months as foreign exchange forward contracts settle.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forecasted interest payments. The unamortized balance recorded in accumulated other comprehensive loss related to the Treasury Locks was $119 million and $130 million at September 30, 2023 and December 31, 2022, respectively. Based on the amounts recorded in accumulated other comprehensive loss at September 30, 2023, the Company estimates that it will recognize approximately $15 million in net interest expense during the next twelve months related to settled interest rate hedge contracts.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w:t>
      </w:r>
    </w:p>
    <w:p>
      <w:pPr>
        <w:spacing w:after="0" w:line="13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September 30, 2023, aggregate notional fixed-to-fixed cross-currency rate swaps of 400 million Euros and 614 million Singapore Dollars have been designated as net investment hedges to hedge a portion of the Company’s net investment in certain subsidiaries whose functional currencies are the Euro and Singapore Dollar.</w:t>
      </w:r>
    </w:p>
    <w:p>
      <w:pPr>
        <w:spacing w:after="0" w:line="13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also designated certain of its Euro- and British Pound-denominated senior notes and Euro commercial paper notes as net investment hedges to hedge a portion of its net investment in certain subsidiaries whose functional currencies are the Euro and the British Pound. On May 24, 2023, in conjunction with the public offering and issuance of the 4.500% Euro-denominated senior notes due in May 2031 (see Note 10), the Company elected to designate such notes as a net investment hedge and simultaneously de-designated its existing net investment hedge election on its 0.375% Euro-denominated senior notes due in July 2023. To mitigate foreign currency exchange exposure on the 0.375% Euro-denominated senior notes, the Company entered into a forward exchange contract, not designated as a hedge, with matching critical terms which settled in July 2023 in conjunction with the maturity of the senior notes.</w:t>
      </w:r>
    </w:p>
    <w:p>
      <w:pPr>
        <w:spacing w:after="0" w:line="14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(loss)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and will remain in accumulated other comprehensive loss in the consolidated balance sheets until the sale or complete liquidation of the underlying foreign subsidiaries.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Foreign currency transaction gains (losses), net of income tax, related to net investment hedges that were recorded in other comprehensive income (loss) in the consolidated statements of comprehensive income (loss)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7"/>
                <w:szCs w:val="17"/>
                <w:color w:val="auto"/>
              </w:rPr>
            </w:pPr>
          </w:p>
        </w:tc>
        <w:tc>
          <w:tcPr>
            <w:tcW w:w="256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1"/>
              </w:rPr>
              <w:t>Nine Months Ended</w:t>
            </w: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54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6"/>
                <w:szCs w:val="16"/>
                <w:color w:val="auto"/>
              </w:rPr>
            </w:pPr>
          </w:p>
        </w:tc>
        <w:tc>
          <w:tcPr>
            <w:tcW w:w="1080" w:type="dxa"/>
            <w:vAlign w:val="bottom"/>
          </w:tcPr>
          <w:p>
            <w:pPr>
              <w:jc w:val="right"/>
              <w:ind w:right="410"/>
              <w:spacing w:after="0" w:line="187"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10"/>
              <w:spacing w:after="0" w:line="187" w:lineRule="exact"/>
              <w:rPr>
                <w:sz w:val="20"/>
                <w:szCs w:val="20"/>
                <w:color w:val="auto"/>
              </w:rPr>
            </w:pPr>
            <w:r>
              <w:rPr>
                <w:rFonts w:ascii="Arial" w:cs="Arial" w:eastAsia="Arial" w:hAnsi="Arial"/>
                <w:sz w:val="18"/>
                <w:szCs w:val="18"/>
                <w:b w:val="1"/>
                <w:bCs w:val="1"/>
                <w:color w:val="auto"/>
                <w:w w:val="84"/>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30"/>
              <w:spacing w:after="0" w:line="187" w:lineRule="exact"/>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430"/>
              <w:spacing w:after="0" w:line="187" w:lineRule="exact"/>
              <w:rPr>
                <w:sz w:val="20"/>
                <w:szCs w:val="20"/>
                <w:color w:val="auto"/>
              </w:rPr>
            </w:pPr>
            <w:r>
              <w:rPr>
                <w:rFonts w:ascii="Arial" w:cs="Arial" w:eastAsia="Arial" w:hAnsi="Arial"/>
                <w:sz w:val="18"/>
                <w:szCs w:val="18"/>
                <w:b w:val="1"/>
                <w:bCs w:val="1"/>
                <w:color w:val="auto"/>
                <w:w w:val="84"/>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Cross-currency rate swap contracts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10"/>
        </w:trPr>
        <w:tc>
          <w:tcPr>
            <w:tcW w:w="2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Foreign currency-denominated debt</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w:t>
            </w:r>
          </w:p>
        </w:tc>
      </w:tr>
    </w:tbl>
    <w:p>
      <w:pPr>
        <w:spacing w:after="0" w:line="24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Company recorded income tax impacts of $(42) million and $(89) million during the three months ended September 30, 2023 and 2022, respectively, and $(2) million and $(172) million during the nine months ended September 30, 2023 and 2022, respectively, in other comprehensive income (loss) from the translation of foreign currency-denominated senior notes, commercial paper notes and cross-currency rate swap contracts.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maintains a fixed-to-fixed cross-currency rate swap contract of 525 million notional British Pounds, designated as a fair value hedge, to mitigate the spot foreign exchange rate risk on the principal amount of its British Pound-denominated 2.250% senior notes due in July 2025. Changes in the fair value of the cross-currency rate swap, along with the offsetting changes in the fair value of the senior notes, attributable to fluctuations in the British Pound/U.S. dollar spot rates are recognized in other expense, net within the consolidated statements of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7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fair values of cash equivalents, trade accounts receivable, other current assets, settlement assets and obligations, accounts payable, and client deposits approximate their respective carrying values due to the short period of time to maturity. Derivative instruments maintained by the Company (see Note 7) are measured on a recurring basis based on foreign currency spot rates and forwards quoted by banks and foreign currency dealers and are marked to market each period. Contingent consideration related to certain of the Company’s acquisitions (see Note 4) is estimated using the present value of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1000"/>
              <w:spacing w:after="0"/>
              <w:rPr>
                <w:sz w:val="20"/>
                <w:szCs w:val="20"/>
                <w:color w:val="auto"/>
              </w:rPr>
            </w:pPr>
            <w:r>
              <w:rPr>
                <w:rFonts w:ascii="Arial" w:cs="Arial" w:eastAsia="Arial" w:hAnsi="Arial"/>
                <w:sz w:val="18"/>
                <w:szCs w:val="18"/>
                <w:b w:val="1"/>
                <w:bCs w:val="1"/>
                <w:color w:val="auto"/>
              </w:rPr>
              <w:t>Fair Value</w:t>
            </w:r>
          </w:p>
        </w:tc>
      </w:tr>
      <w:tr>
        <w:trPr>
          <w:trHeight w:val="169"/>
        </w:trPr>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60" w:type="dxa"/>
            <w:vAlign w:val="bottom"/>
            <w:gridSpan w:val="2"/>
          </w:tcPr>
          <w:p>
            <w:pPr>
              <w:jc w:val="center"/>
              <w:ind w:left="5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3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380" w:type="dxa"/>
            <w:vAlign w:val="bottom"/>
          </w:tcPr>
          <w:p>
            <w:pPr>
              <w:ind w:left="1280"/>
              <w:spacing w:after="0" w:line="202" w:lineRule="exact"/>
              <w:rPr>
                <w:sz w:val="20"/>
                <w:szCs w:val="20"/>
                <w:color w:val="auto"/>
              </w:rPr>
            </w:pPr>
            <w:r>
              <w:rPr>
                <w:rFonts w:ascii="Arial" w:cs="Arial" w:eastAsia="Arial" w:hAnsi="Arial"/>
                <w:sz w:val="18"/>
                <w:szCs w:val="18"/>
                <w:b w:val="1"/>
                <w:bCs w:val="1"/>
                <w:color w:val="auto"/>
              </w:rPr>
              <w:t>Classification</w:t>
            </w:r>
          </w:p>
        </w:tc>
        <w:tc>
          <w:tcPr>
            <w:tcW w:w="1460" w:type="dxa"/>
            <w:vAlign w:val="bottom"/>
            <w:gridSpan w:val="2"/>
          </w:tcPr>
          <w:p>
            <w:pPr>
              <w:jc w:val="center"/>
              <w:ind w:left="50"/>
              <w:spacing w:after="0" w:line="202" w:lineRule="exact"/>
              <w:rPr>
                <w:sz w:val="20"/>
                <w:szCs w:val="20"/>
                <w:color w:val="auto"/>
              </w:rPr>
            </w:pPr>
            <w:r>
              <w:rPr>
                <w:rFonts w:ascii="Arial" w:cs="Arial" w:eastAsia="Arial" w:hAnsi="Arial"/>
                <w:sz w:val="18"/>
                <w:szCs w:val="18"/>
                <w:b w:val="1"/>
                <w:bCs w:val="1"/>
                <w:color w:val="auto"/>
                <w:w w:val="96"/>
              </w:rPr>
              <w:t>Hierarchy</w:t>
            </w:r>
          </w:p>
        </w:tc>
        <w:tc>
          <w:tcPr>
            <w:tcW w:w="160" w:type="dxa"/>
            <w:vAlign w:val="bottom"/>
          </w:tcPr>
          <w:p>
            <w:pPr>
              <w:spacing w:after="0"/>
              <w:rPr>
                <w:sz w:val="17"/>
                <w:szCs w:val="17"/>
                <w:color w:val="auto"/>
              </w:rPr>
            </w:pPr>
          </w:p>
        </w:tc>
        <w:tc>
          <w:tcPr>
            <w:tcW w:w="136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9"/>
              </w:rPr>
              <w:t>Forward exchange contracts designated as</w:t>
            </w:r>
          </w:p>
        </w:tc>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cash flow hedges</w:t>
            </w:r>
          </w:p>
        </w:tc>
        <w:tc>
          <w:tcPr>
            <w:tcW w:w="3380" w:type="dxa"/>
            <w:vAlign w:val="bottom"/>
          </w:tcPr>
          <w:p>
            <w:pPr>
              <w:ind w:left="20"/>
              <w:spacing w:after="0"/>
              <w:rPr>
                <w:sz w:val="20"/>
                <w:szCs w:val="20"/>
                <w:color w:val="auto"/>
              </w:rPr>
            </w:pPr>
            <w:r>
              <w:rPr>
                <w:rFonts w:ascii="Arial" w:cs="Arial" w:eastAsia="Arial" w:hAnsi="Arial"/>
                <w:sz w:val="18"/>
                <w:szCs w:val="18"/>
                <w:color w:val="auto"/>
                <w:w w:val="97"/>
              </w:rPr>
              <w:t>Prepaid expenses and other current assets</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Level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Borders>
              <w:right w:val="single" w:sz="8" w:color="CCEEFF"/>
            </w:tcBorders>
          </w:tcPr>
          <w:p>
            <w:pPr>
              <w:spacing w:after="0"/>
              <w:rPr>
                <w:sz w:val="19"/>
                <w:szCs w:val="19"/>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Cross-currency rate swap contract</w:t>
            </w:r>
          </w:p>
        </w:tc>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designated as fair value hedge</w:t>
            </w:r>
          </w:p>
        </w:tc>
        <w:tc>
          <w:tcPr>
            <w:tcW w:w="33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Level 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75"/>
        </w:trPr>
        <w:tc>
          <w:tcPr>
            <w:tcW w:w="40" w:type="dxa"/>
            <w:vAlign w:val="bottom"/>
            <w:tcBorders>
              <w:right w:val="single" w:sz="8" w:color="CCEEFF"/>
            </w:tcBorders>
          </w:tcPr>
          <w:p>
            <w:pPr>
              <w:spacing w:after="0"/>
              <w:rPr>
                <w:sz w:val="15"/>
                <w:szCs w:val="15"/>
                <w:color w:val="auto"/>
              </w:rPr>
            </w:pPr>
          </w:p>
        </w:tc>
        <w:tc>
          <w:tcPr>
            <w:tcW w:w="32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w w:val="89"/>
              </w:rPr>
              <w:t>Forward exchange contracts designated as</w:t>
            </w:r>
          </w:p>
        </w:tc>
        <w:tc>
          <w:tcPr>
            <w:tcW w:w="3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flow hedges</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6"/>
              </w:rPr>
              <w:t>Level 2</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r>
      <w:tr>
        <w:trPr>
          <w:trHeight w:val="175"/>
        </w:trPr>
        <w:tc>
          <w:tcPr>
            <w:tcW w:w="40" w:type="dxa"/>
            <w:vAlign w:val="bottom"/>
          </w:tcPr>
          <w:p>
            <w:pPr>
              <w:spacing w:after="0"/>
              <w:rPr>
                <w:sz w:val="15"/>
                <w:szCs w:val="15"/>
                <w:color w:val="auto"/>
              </w:rPr>
            </w:pPr>
          </w:p>
        </w:tc>
        <w:tc>
          <w:tcPr>
            <w:tcW w:w="3200" w:type="dxa"/>
            <w:vAlign w:val="bottom"/>
            <w:gridSpan w:val="2"/>
          </w:tcPr>
          <w:p>
            <w:pPr>
              <w:ind w:left="100"/>
              <w:spacing w:after="0" w:line="176" w:lineRule="exact"/>
              <w:rPr>
                <w:sz w:val="20"/>
                <w:szCs w:val="20"/>
                <w:color w:val="auto"/>
              </w:rPr>
            </w:pPr>
            <w:r>
              <w:rPr>
                <w:rFonts w:ascii="Arial" w:cs="Arial" w:eastAsia="Arial" w:hAnsi="Arial"/>
                <w:sz w:val="18"/>
                <w:szCs w:val="18"/>
                <w:color w:val="auto"/>
                <w:w w:val="89"/>
              </w:rPr>
              <w:t>Forward exchange contracts designated as</w:t>
            </w:r>
          </w:p>
        </w:tc>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3200" w:type="dxa"/>
            <w:vAlign w:val="bottom"/>
            <w:gridSpan w:val="2"/>
          </w:tcPr>
          <w:p>
            <w:pPr>
              <w:ind w:left="180"/>
              <w:spacing w:after="0"/>
              <w:rPr>
                <w:sz w:val="20"/>
                <w:szCs w:val="20"/>
                <w:color w:val="auto"/>
              </w:rPr>
            </w:pPr>
            <w:r>
              <w:rPr>
                <w:rFonts w:ascii="Arial" w:cs="Arial" w:eastAsia="Arial" w:hAnsi="Arial"/>
                <w:sz w:val="18"/>
                <w:szCs w:val="18"/>
                <w:color w:val="auto"/>
              </w:rPr>
              <w:t>cash flow hedges</w:t>
            </w:r>
          </w:p>
        </w:tc>
        <w:tc>
          <w:tcPr>
            <w:tcW w:w="33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Level 2</w:t>
            </w:r>
          </w:p>
        </w:tc>
        <w:tc>
          <w:tcPr>
            <w:tcW w:w="16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r>
      <w:tr>
        <w:trPr>
          <w:trHeight w:val="175"/>
        </w:trPr>
        <w:tc>
          <w:tcPr>
            <w:tcW w:w="40" w:type="dxa"/>
            <w:vAlign w:val="bottom"/>
            <w:tcBorders>
              <w:right w:val="single" w:sz="8" w:color="CCEEFF"/>
            </w:tcBorders>
          </w:tcPr>
          <w:p>
            <w:pPr>
              <w:spacing w:after="0"/>
              <w:rPr>
                <w:sz w:val="15"/>
                <w:szCs w:val="15"/>
                <w:color w:val="auto"/>
              </w:rPr>
            </w:pPr>
          </w:p>
        </w:tc>
        <w:tc>
          <w:tcPr>
            <w:tcW w:w="32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Cross-currency rate swap contracts</w:t>
            </w:r>
          </w:p>
        </w:tc>
        <w:tc>
          <w:tcPr>
            <w:tcW w:w="33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0" w:type="dxa"/>
            <w:vAlign w:val="bottom"/>
            <w:tcBorders>
              <w:right w:val="single" w:sz="8" w:color="CCEEFF"/>
            </w:tcBorders>
          </w:tcPr>
          <w:p>
            <w:pPr>
              <w:spacing w:after="0"/>
              <w:rPr>
                <w:sz w:val="21"/>
                <w:szCs w:val="21"/>
                <w:color w:val="auto"/>
              </w:rPr>
            </w:pPr>
          </w:p>
        </w:tc>
        <w:tc>
          <w:tcPr>
            <w:tcW w:w="3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designated as net investment hedges</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6"/>
              </w:rPr>
              <w:t>Level 2</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Contingent consideration</w:t>
            </w:r>
          </w:p>
        </w:tc>
        <w:tc>
          <w:tcPr>
            <w:tcW w:w="338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Level 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Contingent consideration</w:t>
            </w: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6"/>
              </w:rPr>
              <w:t>Level 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rPr>
              <w:t>Contingent debt guarantee</w:t>
            </w:r>
          </w:p>
        </w:tc>
        <w:tc>
          <w:tcPr>
            <w:tcW w:w="33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Level 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20"/>
                <w:szCs w:val="20"/>
                <w:color w:val="auto"/>
              </w:rPr>
            </w:pPr>
          </w:p>
        </w:tc>
      </w:tr>
      <w:tr>
        <w:trPr>
          <w:trHeight w:val="85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380" w:type="dxa"/>
            <w:vAlign w:val="bottom"/>
          </w:tcPr>
          <w:p>
            <w:pPr>
              <w:ind w:left="2300"/>
              <w:spacing w:after="0"/>
              <w:rPr>
                <w:sz w:val="20"/>
                <w:szCs w:val="20"/>
                <w:color w:val="auto"/>
              </w:rPr>
            </w:pPr>
            <w:r>
              <w:rPr>
                <w:rFonts w:ascii="Arial" w:cs="Arial" w:eastAsia="Arial" w:hAnsi="Arial"/>
                <w:sz w:val="18"/>
                <w:szCs w:val="18"/>
                <w:color w:val="auto"/>
              </w:rPr>
              <w:t>16</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44"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term loan credit agreement, commercial paper notes and revolving credit facility borrowings approximates fair value as these instruments have variable interest rates and the Company has not experienced any change to its credit ratings (Level 2 of the fair value hierarchy).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estimated fair value of total debt, excluding finance leases and other financing obligations, was $20.7 billion and $19.2 billion at September 30, 2023 and December 31, 2022, respectively, and the carrying value was $22.3 billion and $20.6 billion at September 30, 2023 and December 31, 2022,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Guarantee Arrangements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maintains liabilities for its obligations to perform over the term of its debt guarantee arrangements with the Lending Joint Ventures (see Note 6), which are reported within other long-term liabilities in the consolidated balance sheets. In April 2022, the Lending Joint Ventures amended their respective term loans and revolving credit facilities, increasing aggregate borrowing capacity by $75 million and extending the maturities to April 2027. The Company elected to guarantee this incremental indebtedness, resulting in aggregate guarantees of $520 million. The Company is entitled to receive a defined fee in exchange for its incremental guarantee of this indebtedness. The Company has not made any payments under the guarantees, nor has it been called upon to do so, and does not anticipate that the Lending Joint Ventures will fail to fulfill their debt obligations.</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non-contingent component of the Company’s debt guarantee arrangements is recorded at amortized cost, but measured at fair value for disclosure purposes. The carrying value of the Company’s non-contingent liability of $33 million and $40 million approximates the fair value at September 30, 2023 and December 31, 2022,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$2 million for each of the three months ended September 30, 2023 and 2022, and $7 million and $8 million during the nine months ended September 30, 2023 and 2022, respectively, within other expense, net in its consolidated statements of income related to its release from risk under the non-contingent guarantees as well as a change in the provision of estimated credit losses associated with the indebtedness of the joint ventures.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Non-Financial Assets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9. Accounts Payable and Accrued Expenses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2023</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Accrued payment network fees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952"/>
        </w:trPr>
        <w:tc>
          <w:tcPr>
            <w:tcW w:w="128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10. Debt</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Arial" w:cs="Arial" w:eastAsia="Arial" w:hAnsi="Arial"/>
                <w:sz w:val="18"/>
                <w:szCs w:val="18"/>
                <w:color w:val="auto"/>
              </w:rPr>
              <w:t>The Company’s debt consisted of the following:</w:t>
            </w: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Foreign lines of credit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3.800% senior notes due October 2023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2.750% senior notes due July 2024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3.850% senior notes due June 2025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3.200% senior notes due July 2026</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June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5.450% senior notes due March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5.375% senior notes due August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4.200% senior notes due October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3.500% senior notes due July 2029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4.500% senior notes due May 2031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5.600% senior notes due March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5.625% senior notes due August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4.400% senior notes due July 2049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U.S. dollar commercial paper notes</w:t>
            </w:r>
          </w:p>
        </w:tc>
        <w:tc>
          <w:tcPr>
            <w:tcW w:w="20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Euro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2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debt covenants during the nine months ended September 30,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On August 21, 2023, the Company completed the public offering and issuance of $2.0 billion of senior notes, comprised of $700 million aggregate principal amount of 5.375% senior notes due in August 2028 and $1.3 billion aggregate principal amount of 5.625% senior notes due in August 2033. Interest on these senior notes is paid semi-annually. The Company used the net proceeds from these senior notes offerings for general corporate purposes, including the repayment of U.S. dollar commercial paper notes, share repurchases and, in October 2023, the repayment of its 3.800% senior notes.</w:t>
      </w:r>
    </w:p>
    <w:p>
      <w:pPr>
        <w:spacing w:after="0" w:line="10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May 24, 2023, the Company completed the public offering and issuance of 800 million Euros aggregate principal amount of 4.500% senior notes due in May 2031. Interest on these senior notes is paid annually. The Company used the net proceeds from this senior notes offering for general corporate purposes, including the repayment of U.S. dollar commercial paper notes and, in July 2023, the repayment of its 0.375% Euro-denominated senior notes.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2, 2023, the Company completed the public offering and issuance of $1.8 billion of senior notes, comprised of $900 million aggregate principal amount of 5.450% senior notes due in March 2028 and $900 million aggregate principal amount of 5.600% senior notes due in March 2033. Interest on these senior notes is paid semi-annually. The Company used the net proceeds from these senior notes offerings for general corporate purposes, including the repayment of U.S. dollar commercial paper notes.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September 30, 2023, the 3.800% senior notes due in October 2023 and 2.750% senior notes due in July 2024 were classified in the consolidated balance sheet as long-term, as the Company has the intent to refinance or has subsequently refinanced this debt on a long-term basis and the ability to do so under its revolving credit facility.</w:t>
      </w:r>
    </w:p>
    <w:p>
      <w:pPr>
        <w:spacing w:after="0" w:line="130"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indentures governing each of these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these senior notes, in whole or in part, at any time and from time to time at the applicable redemption price.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There were no outstanding borrowings under the U.S. dollar program at September 30, 2023. Outstanding borrowings under the U.S. dollar program were $2.3 billion at December 31, 2022, with a weighted average interest rate of 4.818%. Outstanding borrowings under the Euro program were $1.2 billion at both September 30, 2023 and December 31, 2022, with weighted average interest rates of 3.880% and 1.918%, respectively. The Company intends to maintain available capacity under its revolving credit facility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maintains a senior unsecured multicurrency revolving credit facility, which matures in June 2027 and provides for a maximum aggregate principal amount of availability of $6.0 billion. Borrowings under the credit facility bear interest at a variable rate based on a Secured Overnight Financing Rate (SOFR), or a base rate in the case of U.S. dollar borrowings, in each case, plus a specified margin based on the Company’s long-term debt rating in effect from time to time (6.450% at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maintains certain short-term lines of credit and other borrowing arrangements with foreign banks and alliance partners primarily to fund settlement activity associated with operations in Latin America. The Company entered into an annually renewable term loan facility, which was fully funded in April 2023, to fund settlement advance cash payments in Brazil. This term loan has a notional value of 514 million Brazilian real ($102 million USD equivalent) at September 30, 2023 that matures in April 2024 and bears interest at a variable Certificado de Depósito Interbancário (CDI) Rate, plus a specified margin of 1.70% per annum.</w:t>
      </w:r>
    </w:p>
    <w:p>
      <w:pPr>
        <w:spacing w:after="0" w:line="13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provides a summary of the outstanding borrowings and weighted average interest rates of the Company’s foreign lines of credit and other borrowing arrangements by country at September 30, 2023 and December 31,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Outstanding Borrowings (in millions)</w:t>
            </w:r>
          </w:p>
        </w:tc>
        <w:tc>
          <w:tcPr>
            <w:tcW w:w="80" w:type="dxa"/>
            <w:vAlign w:val="bottom"/>
          </w:tcPr>
          <w:p>
            <w:pPr>
              <w:spacing w:after="0"/>
              <w:rPr>
                <w:sz w:val="20"/>
                <w:szCs w:val="20"/>
                <w:color w:val="auto"/>
              </w:rPr>
            </w:pPr>
          </w:p>
        </w:tc>
        <w:tc>
          <w:tcPr>
            <w:tcW w:w="4640" w:type="dxa"/>
            <w:vAlign w:val="bottom"/>
            <w:gridSpan w:val="4"/>
          </w:tcPr>
          <w:p>
            <w:pPr>
              <w:ind w:left="1080"/>
              <w:spacing w:after="0"/>
              <w:rPr>
                <w:sz w:val="20"/>
                <w:szCs w:val="20"/>
                <w:color w:val="auto"/>
              </w:rPr>
            </w:pPr>
            <w:r>
              <w:rPr>
                <w:rFonts w:ascii="Arial" w:cs="Arial" w:eastAsia="Arial" w:hAnsi="Arial"/>
                <w:sz w:val="18"/>
                <w:szCs w:val="18"/>
                <w:b w:val="1"/>
                <w:bCs w:val="1"/>
                <w:color w:val="auto"/>
              </w:rPr>
              <w:t>Weighted-Average Interest Rate</w:t>
            </w:r>
          </w:p>
        </w:tc>
      </w:tr>
      <w:tr>
        <w:trPr>
          <w:trHeight w:val="223"/>
        </w:trPr>
        <w:tc>
          <w:tcPr>
            <w:tcW w:w="2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December 31, 2022</w:t>
            </w:r>
          </w:p>
        </w:tc>
        <w:tc>
          <w:tcPr>
            <w:tcW w:w="80" w:type="dxa"/>
            <w:vAlign w:val="bottom"/>
          </w:tcPr>
          <w:p>
            <w:pPr>
              <w:spacing w:after="0"/>
              <w:rPr>
                <w:sz w:val="19"/>
                <w:szCs w:val="19"/>
                <w:color w:val="auto"/>
              </w:rPr>
            </w:pPr>
          </w:p>
        </w:tc>
        <w:tc>
          <w:tcPr>
            <w:tcW w:w="236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September 30, 2023</w:t>
            </w:r>
          </w:p>
        </w:tc>
        <w:tc>
          <w:tcPr>
            <w:tcW w:w="22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December 31, 2022</w:t>
            </w:r>
          </w:p>
        </w:tc>
        <w:tc>
          <w:tcPr>
            <w:tcW w:w="20" w:type="dxa"/>
            <w:vAlign w:val="bottom"/>
          </w:tcPr>
          <w:p>
            <w:pPr>
              <w:spacing w:after="0"/>
              <w:rPr>
                <w:sz w:val="19"/>
                <w:szCs w:val="19"/>
                <w:color w:val="auto"/>
              </w:rPr>
            </w:pP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Argentina</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99.417 %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69.791 %</w:t>
            </w:r>
          </w:p>
        </w:tc>
        <w:tc>
          <w:tcPr>
            <w:tcW w:w="20" w:type="dxa"/>
            <w:vAlign w:val="bottom"/>
          </w:tcPr>
          <w:p>
            <w:pPr>
              <w:spacing w:after="0"/>
              <w:rPr>
                <w:sz w:val="19"/>
                <w:szCs w:val="19"/>
                <w:color w:val="auto"/>
              </w:rPr>
            </w:pPr>
          </w:p>
        </w:tc>
      </w:tr>
      <w:tr>
        <w:trPr>
          <w:trHeight w:val="229"/>
        </w:trPr>
        <w:tc>
          <w:tcPr>
            <w:tcW w:w="2200" w:type="dxa"/>
            <w:vAlign w:val="bottom"/>
          </w:tcPr>
          <w:p>
            <w:pPr>
              <w:ind w:left="20"/>
              <w:spacing w:after="0"/>
              <w:rPr>
                <w:sz w:val="20"/>
                <w:szCs w:val="20"/>
                <w:color w:val="auto"/>
              </w:rPr>
            </w:pPr>
            <w:r>
              <w:rPr>
                <w:rFonts w:ascii="Arial" w:cs="Arial" w:eastAsia="Arial" w:hAnsi="Arial"/>
                <w:sz w:val="18"/>
                <w:szCs w:val="18"/>
                <w:color w:val="auto"/>
              </w:rPr>
              <w:t>Brazil</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14.978 %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16.254 %</w:t>
            </w:r>
          </w:p>
        </w:tc>
        <w:tc>
          <w:tcPr>
            <w:tcW w:w="20" w:type="dxa"/>
            <w:vAlign w:val="bottom"/>
          </w:tcPr>
          <w:p>
            <w:pPr>
              <w:spacing w:after="0"/>
              <w:rPr>
                <w:sz w:val="19"/>
                <w:szCs w:val="19"/>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Uruguay</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11.896 %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12.188 %</w:t>
            </w:r>
          </w:p>
        </w:tc>
        <w:tc>
          <w:tcPr>
            <w:tcW w:w="20" w:type="dxa"/>
            <w:vAlign w:val="bottom"/>
          </w:tcPr>
          <w:p>
            <w:pPr>
              <w:spacing w:after="0"/>
              <w:rPr>
                <w:sz w:val="19"/>
                <w:szCs w:val="19"/>
                <w:color w:val="auto"/>
              </w:rPr>
            </w:pPr>
          </w:p>
        </w:tc>
      </w:tr>
      <w:tr>
        <w:trPr>
          <w:trHeight w:val="230"/>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0.994 %</w:t>
            </w:r>
          </w:p>
        </w:tc>
        <w:tc>
          <w:tcPr>
            <w:tcW w:w="20" w:type="dxa"/>
            <w:vAlign w:val="bottom"/>
          </w:tcPr>
          <w:p>
            <w:pPr>
              <w:spacing w:after="0"/>
              <w:rPr>
                <w:sz w:val="19"/>
                <w:szCs w:val="19"/>
                <w:color w:val="auto"/>
              </w:rPr>
            </w:pP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48.428 %</w:t>
            </w:r>
          </w:p>
        </w:tc>
        <w:tc>
          <w:tcPr>
            <w:tcW w:w="10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30.578 %</w:t>
            </w:r>
          </w:p>
        </w:tc>
        <w:tc>
          <w:tcPr>
            <w:tcW w:w="20" w:type="dxa"/>
            <w:vAlign w:val="bottom"/>
          </w:tcPr>
          <w:p>
            <w:pPr>
              <w:spacing w:after="0"/>
              <w:rPr>
                <w:sz w:val="21"/>
                <w:szCs w:val="2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June 2023, the Company repaid all remaining outstanding borrowings on its existing term loan facility utilizing proceeds from the issuance of U.S. dollar commercial paper notes and operating cash on hand, thereby terminating such facility. Borrowings under the term loan facility accrued interest at a variable rate based on one-month LIBOR or on a base rate, plus, in each case, a specified margin based on the Company’s long-term debt rating in effect from time to time. The variable interest rate on the term loan facility borrowings was 5.639% at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Noncontrolling Interests</w:t>
      </w:r>
    </w:p>
    <w:p>
      <w:pPr>
        <w:spacing w:after="0" w:line="17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minority partner in one of the Company’s existing merchant alliance joint ventures maintains a redeemable noncontrolling 1% interest which is presented outside of equity and carried at its estimated redemption value. The minority partner is entitled to a contractually determined share of the entity’s income, and the joint venture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 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of cash, certain merchant contracts of the joint venture, or a combination thereof. In conjunction with the termination of the joint venture, the minority partner may also exercise an option to purchase certain additional merchant contracts at fair market value.</w:t>
      </w:r>
    </w:p>
    <w:p>
      <w:pPr>
        <w:spacing w:after="0" w:line="111"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color w:val="auto"/>
        </w:rPr>
        <w:t>In 2021, the Company and a joint venture minority partner mutually agreed to terminate one of the Company’s merchant alliance joint ventures effective March 2022. In conjunction with the termination, the joint venture minority partner elected to exercise its option to purchase certain additional merchant contracts of the joint venture. The Company received proceeds of $175 million from the sale of such merchant contracts of the joint venture, resulting in the recognition of a pre-tax gain of $147 million within net (gain) loss on sale of businesses and other assets, with related tax expense of $9 million recorded through the income tax provision, in the consolidated statement of income during the nine months ended September 30,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nine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income</w:t>
            </w:r>
          </w:p>
        </w:tc>
        <w:tc>
          <w:tcPr>
            <w:tcW w:w="2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Derecognition of redeemable noncontrolling interest</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bottom w:val="single" w:sz="8" w:color="CCEEFF"/>
            </w:tcBorders>
            <w:vMerge w:val="restart"/>
          </w:tcPr>
          <w:p>
            <w:pPr>
              <w:jc w:val="right"/>
              <w:ind w:right="1410"/>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changes in equity during the three and nine months ended September 30, 2023 and 2022:</w:t>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Fiserv,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32385</wp:posOffset>
            </wp:positionV>
            <wp:extent cx="42862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96" w:lineRule="exact"/>
        <w:rPr>
          <w:sz w:val="20"/>
          <w:szCs w:val="20"/>
          <w:color w:val="auto"/>
        </w:rPr>
      </w:pPr>
    </w:p>
    <w:p>
      <w:pPr>
        <w:ind w:left="20" w:right="860"/>
        <w:spacing w:after="0" w:line="297" w:lineRule="auto"/>
        <w:rPr>
          <w:sz w:val="20"/>
          <w:szCs w:val="20"/>
          <w:color w:val="auto"/>
        </w:rPr>
      </w:pPr>
      <w:r>
        <w:rPr>
          <w:rFonts w:ascii="Arial" w:cs="Arial" w:eastAsia="Arial" w:hAnsi="Arial"/>
          <w:sz w:val="13"/>
          <w:szCs w:val="13"/>
          <w:b w:val="1"/>
          <w:bCs w:val="1"/>
          <w:color w:val="auto"/>
        </w:rPr>
        <w:t>Three Months Ended September 30, 2023</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46" w:lineRule="exact"/>
        <w:rPr>
          <w:sz w:val="20"/>
          <w:szCs w:val="20"/>
          <w:color w:val="auto"/>
        </w:rPr>
      </w:pPr>
    </w:p>
    <w:p>
      <w:pPr>
        <w:ind w:left="20" w:right="740"/>
        <w:spacing w:after="0" w:line="280" w:lineRule="auto"/>
        <w:rPr>
          <w:sz w:val="20"/>
          <w:szCs w:val="20"/>
          <w:color w:val="auto"/>
        </w:rPr>
      </w:pPr>
      <w:r>
        <w:rPr>
          <w:rFonts w:ascii="Arial" w:cs="Arial" w:eastAsia="Arial" w:hAnsi="Arial"/>
          <w:sz w:val="14"/>
          <w:szCs w:val="14"/>
          <w:color w:val="auto"/>
        </w:rPr>
        <w:t xml:space="preserve">Balance at June 30, 2023 Net income </w:t>
      </w:r>
      <w:r>
        <w:rPr>
          <w:rFonts w:ascii="Arial" w:cs="Arial" w:eastAsia="Arial" w:hAnsi="Arial"/>
          <w:sz w:val="18"/>
          <w:szCs w:val="18"/>
          <w:color w:val="auto"/>
          <w:vertAlign w:val="superscript"/>
        </w:rPr>
        <w:t>(1)</w:t>
      </w:r>
    </w:p>
    <w:p>
      <w:pPr>
        <w:spacing w:after="0" w:line="1" w:lineRule="exact"/>
        <w:rPr>
          <w:sz w:val="20"/>
          <w:szCs w:val="20"/>
          <w:color w:val="auto"/>
        </w:rPr>
      </w:pPr>
    </w:p>
    <w:p>
      <w:pPr>
        <w:ind w:left="180" w:right="100" w:hanging="161"/>
        <w:spacing w:after="0" w:line="220"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ind w:left="180" w:hanging="161"/>
        <w:spacing w:after="0" w:line="242" w:lineRule="auto"/>
        <w:rPr>
          <w:sz w:val="20"/>
          <w:szCs w:val="20"/>
          <w:color w:val="auto"/>
        </w:rPr>
      </w:pPr>
      <w:r>
        <w:rPr>
          <w:rFonts w:ascii="Arial" w:cs="Arial" w:eastAsia="Arial" w:hAnsi="Arial"/>
          <w:sz w:val="13"/>
          <w:szCs w:val="13"/>
          <w:color w:val="auto"/>
        </w:rPr>
        <w:t xml:space="preserve">Acquisition of noncontrolling interest of consolidated subsidiary </w:t>
      </w:r>
      <w:r>
        <w:rPr>
          <w:rFonts w:ascii="Arial" w:cs="Arial" w:eastAsia="Arial" w:hAnsi="Arial"/>
          <w:sz w:val="16"/>
          <w:szCs w:val="16"/>
          <w:color w:val="auto"/>
          <w:vertAlign w:val="superscript"/>
        </w:rPr>
        <w:t>(3)</w:t>
      </w:r>
    </w:p>
    <w:p>
      <w:pPr>
        <w:spacing w:after="0" w:line="1" w:lineRule="exact"/>
        <w:rPr>
          <w:sz w:val="20"/>
          <w:szCs w:val="20"/>
          <w:color w:val="auto"/>
        </w:rPr>
      </w:pPr>
    </w:p>
    <w:p>
      <w:pPr>
        <w:ind w:left="20" w:right="360"/>
        <w:spacing w:after="0" w:line="372" w:lineRule="auto"/>
        <w:rPr>
          <w:sz w:val="20"/>
          <w:szCs w:val="20"/>
          <w:color w:val="auto"/>
        </w:rPr>
      </w:pPr>
      <w:r>
        <w:rPr>
          <w:rFonts w:ascii="Arial" w:cs="Arial" w:eastAsia="Arial" w:hAnsi="Arial"/>
          <w:sz w:val="12"/>
          <w:szCs w:val="12"/>
          <w:color w:val="auto"/>
        </w:rPr>
        <w:t>Other comprehensive loss Share-based compensation Shares issued under stock plans Purchases of treasury stock Balance at September 30, 2023</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8"/>
              <w:spacing w:after="0" w:line="14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1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7"/>
        </w:trPr>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7"/>
                <w:szCs w:val="17"/>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22,988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18,622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(10,727)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30,716</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952</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38"/>
        </w:trPr>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(1,191)</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23,056</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(1,166)</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19,574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(11,899)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652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30,225</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-1379220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-1113790</wp:posOffset>
            </wp:positionV>
            <wp:extent cx="7132320"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-685165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-427990</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-1467485</wp:posOffset>
            </wp:positionH>
            <wp:positionV relativeFrom="paragraph">
              <wp:posOffset>-170815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2200" w:space="120"/>
            <w:col w:w="8920"/>
          </w:cols>
          <w:pgMar w:left="320" w:top="125" w:right="339" w:bottom="1440" w:gutter="0" w:footer="0" w:header="0"/>
          <w:type w:val="continuous"/>
        </w:sectPr>
      </w:pPr>
    </w:p>
    <w:p>
      <w:pPr>
        <w:ind w:left="660" w:right="280" w:hanging="328"/>
        <w:spacing w:after="0" w:line="223"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September 30, 2023 is different than the amount presented in the consolidated statement of income due to the net income attributable to redeemable noncontrolling interests of $6 million not included in equity.</w:t>
      </w:r>
    </w:p>
    <w:p>
      <w:pPr>
        <w:spacing w:after="0" w:line="50" w:lineRule="exact"/>
        <w:rPr>
          <w:rFonts w:ascii="Arial" w:cs="Arial" w:eastAsia="Arial" w:hAnsi="Arial"/>
          <w:sz w:val="21"/>
          <w:szCs w:val="21"/>
          <w:color w:val="auto"/>
          <w:vertAlign w:val="superscript"/>
        </w:rPr>
      </w:pPr>
    </w:p>
    <w:p>
      <w:pPr>
        <w:ind w:left="660" w:right="180" w:hanging="328"/>
        <w:spacing w:after="0" w:line="223"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September 30, 2023 excludes $6 million in distributions paid to redeemable noncontrolling interests not included in equity.</w:t>
      </w:r>
    </w:p>
    <w:p>
      <w:pPr>
        <w:spacing w:after="0" w:line="50" w:lineRule="exact"/>
        <w:rPr>
          <w:rFonts w:ascii="Arial" w:cs="Arial" w:eastAsia="Arial" w:hAnsi="Arial"/>
          <w:sz w:val="21"/>
          <w:szCs w:val="21"/>
          <w:color w:val="auto"/>
          <w:vertAlign w:val="superscript"/>
        </w:rPr>
      </w:pPr>
    </w:p>
    <w:p>
      <w:pPr>
        <w:ind w:left="660" w:right="40" w:hanging="328"/>
        <w:spacing w:after="0" w:line="235" w:lineRule="auto"/>
        <w:tabs>
          <w:tab w:leader="none" w:pos="64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The Company acquired the remaining 49% ownership interest in European Merchant Services B.V., a Netherlands-based merchant acceptance business, during the three months ended September 30, 2023. The Company previously held a majority controlling financial interest in this consolidated subsidiary.</w:t>
      </w:r>
    </w:p>
    <w:p>
      <w:pPr>
        <w:sectPr>
          <w:pgSz w:w="11900" w:h="16838" w:orient="portrait"/>
          <w:cols w:equalWidth="0" w:num="1">
            <w:col w:w="11240"/>
          </w:cols>
          <w:pgMar w:left="320" w:top="125" w:right="339" w:bottom="1440" w:gutter="0" w:footer="0" w:header="0"/>
          <w:type w:val="continuous"/>
        </w:sectPr>
      </w:pPr>
    </w:p>
    <w:p>
      <w:pPr>
        <w:spacing w:after="0" w:line="376" w:lineRule="exact"/>
        <w:rPr>
          <w:sz w:val="20"/>
          <w:szCs w:val="20"/>
          <w:color w:val="auto"/>
        </w:rPr>
      </w:pPr>
    </w:p>
    <w:p>
      <w:pPr>
        <w:ind w:left="20" w:right="760"/>
        <w:spacing w:after="0" w:line="297" w:lineRule="auto"/>
        <w:rPr>
          <w:sz w:val="20"/>
          <w:szCs w:val="20"/>
          <w:color w:val="auto"/>
        </w:rPr>
      </w:pPr>
      <w:r>
        <w:rPr>
          <w:rFonts w:ascii="Arial" w:cs="Arial" w:eastAsia="Arial" w:hAnsi="Arial"/>
          <w:sz w:val="13"/>
          <w:szCs w:val="13"/>
          <w:b w:val="1"/>
          <w:bCs w:val="1"/>
          <w:color w:val="auto"/>
        </w:rPr>
        <w:t>Three Months Ended September 30, 2022</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June 30, 2022</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9"/>
          <w:szCs w:val="9"/>
          <w:color w:val="auto"/>
        </w:rPr>
        <w:t>(1)</w:t>
      </w:r>
    </w:p>
    <w:p>
      <w:pPr>
        <w:spacing w:after="0" w:line="42" w:lineRule="exact"/>
        <w:rPr>
          <w:sz w:val="20"/>
          <w:szCs w:val="20"/>
          <w:color w:val="auto"/>
        </w:rPr>
      </w:pPr>
    </w:p>
    <w:p>
      <w:pPr>
        <w:ind w:left="180" w:hanging="161"/>
        <w:spacing w:after="0" w:line="227"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spacing w:after="0" w:line="1" w:lineRule="exact"/>
        <w:rPr>
          <w:sz w:val="20"/>
          <w:szCs w:val="20"/>
          <w:color w:val="auto"/>
        </w:rPr>
      </w:pPr>
    </w:p>
    <w:p>
      <w:pPr>
        <w:ind w:left="20" w:right="260"/>
        <w:spacing w:after="0" w:line="372" w:lineRule="auto"/>
        <w:rPr>
          <w:sz w:val="20"/>
          <w:szCs w:val="20"/>
          <w:color w:val="auto"/>
        </w:rPr>
      </w:pPr>
      <w:r>
        <w:rPr>
          <w:rFonts w:ascii="Arial" w:cs="Arial" w:eastAsia="Arial" w:hAnsi="Arial"/>
          <w:sz w:val="12"/>
          <w:szCs w:val="12"/>
          <w:color w:val="auto"/>
        </w:rPr>
        <w:t>Other comprehensive loss Share-based compensation Shares issued under stock plans Purchases of treasury stock Balance at September 30, 2022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2"/>
                <w:szCs w:val="12"/>
                <w:color w:val="auto"/>
              </w:rPr>
            </w:pPr>
          </w:p>
        </w:tc>
        <w:tc>
          <w:tcPr>
            <w:tcW w:w="118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6"/>
        </w:trPr>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23,010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16,113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31,809</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481</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(534)</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5"/>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22,959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(1,539)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16,594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(7,696)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656</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30,982</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-1165225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-899795</wp:posOffset>
            </wp:positionV>
            <wp:extent cx="713232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-556895</wp:posOffset>
            </wp:positionV>
            <wp:extent cx="713232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-299720</wp:posOffset>
            </wp:positionV>
            <wp:extent cx="713232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2100" w:space="280"/>
            <w:col w:w="8860"/>
          </w:cols>
          <w:pgMar w:left="320" w:top="125" w:right="339" w:bottom="1440" w:gutter="0" w:footer="0" w:header="0"/>
          <w:type w:val="continuous"/>
        </w:sectPr>
      </w:pPr>
    </w:p>
    <w:p>
      <w:pPr>
        <w:ind w:left="660" w:right="280" w:hanging="328"/>
        <w:spacing w:after="0" w:line="230"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September 30, 2022 is different than the amount presented in the consolidated statement of income due to the net income attributable to redeemable noncontrolling interests of $7 million not included in equity.</w:t>
      </w:r>
    </w:p>
    <w:p>
      <w:pPr>
        <w:spacing w:after="0" w:line="37" w:lineRule="exact"/>
        <w:rPr>
          <w:rFonts w:ascii="Arial" w:cs="Arial" w:eastAsia="Arial" w:hAnsi="Arial"/>
          <w:sz w:val="21"/>
          <w:szCs w:val="21"/>
          <w:color w:val="auto"/>
          <w:vertAlign w:val="superscript"/>
        </w:rPr>
      </w:pPr>
    </w:p>
    <w:p>
      <w:pPr>
        <w:ind w:left="660" w:right="180" w:hanging="328"/>
        <w:spacing w:after="0" w:line="223"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September 30, 2022 excludes $7 million in distributions paid to redeemable noncontrolling interests not included in equity.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September 30, 2023</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46" w:lineRule="exact"/>
        <w:rPr>
          <w:sz w:val="20"/>
          <w:szCs w:val="20"/>
          <w:color w:val="auto"/>
        </w:rPr>
      </w:pPr>
    </w:p>
    <w:p>
      <w:pPr>
        <w:ind w:left="20" w:right="560"/>
        <w:spacing w:after="0" w:line="311" w:lineRule="auto"/>
        <w:rPr>
          <w:sz w:val="20"/>
          <w:szCs w:val="20"/>
          <w:color w:val="auto"/>
        </w:rPr>
      </w:pPr>
      <w:r>
        <w:rPr>
          <w:rFonts w:ascii="Arial" w:cs="Arial" w:eastAsia="Arial" w:hAnsi="Arial"/>
          <w:sz w:val="14"/>
          <w:szCs w:val="14"/>
          <w:color w:val="auto"/>
        </w:rPr>
        <w:t xml:space="preserve">Balance at December 31, 2022 Net income </w:t>
      </w:r>
      <w:r>
        <w:rPr>
          <w:rFonts w:ascii="Arial" w:cs="Arial" w:eastAsia="Arial" w:hAnsi="Arial"/>
          <w:sz w:val="9"/>
          <w:szCs w:val="9"/>
          <w:color w:val="auto"/>
        </w:rPr>
        <w:t>(1)</w:t>
      </w:r>
    </w:p>
    <w:p>
      <w:pPr>
        <w:spacing w:after="0" w:line="1" w:lineRule="exact"/>
        <w:rPr>
          <w:sz w:val="20"/>
          <w:szCs w:val="20"/>
          <w:color w:val="auto"/>
        </w:rPr>
      </w:pPr>
    </w:p>
    <w:p>
      <w:pPr>
        <w:ind w:left="180" w:right="260" w:hanging="161"/>
        <w:spacing w:after="0" w:line="227"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spacing w:after="0" w:line="1" w:lineRule="exact"/>
        <w:rPr>
          <w:sz w:val="20"/>
          <w:szCs w:val="20"/>
          <w:color w:val="auto"/>
        </w:rPr>
      </w:pPr>
    </w:p>
    <w:p>
      <w:pPr>
        <w:ind w:left="180" w:hanging="161"/>
        <w:spacing w:after="0" w:line="220" w:lineRule="auto"/>
        <w:rPr>
          <w:sz w:val="20"/>
          <w:szCs w:val="20"/>
          <w:color w:val="auto"/>
        </w:rPr>
      </w:pPr>
      <w:r>
        <w:rPr>
          <w:rFonts w:ascii="Arial" w:cs="Arial" w:eastAsia="Arial" w:hAnsi="Arial"/>
          <w:sz w:val="14"/>
          <w:szCs w:val="14"/>
          <w:color w:val="auto"/>
        </w:rPr>
        <w:t xml:space="preserve">Acquisition of noncontrolling interest of consolidated subsidiary </w:t>
      </w:r>
      <w:r>
        <w:rPr>
          <w:rFonts w:ascii="Arial" w:cs="Arial" w:eastAsia="Arial" w:hAnsi="Arial"/>
          <w:sz w:val="18"/>
          <w:szCs w:val="18"/>
          <w:color w:val="auto"/>
          <w:vertAlign w:val="superscript"/>
        </w:rPr>
        <w:t>(3)</w:t>
      </w:r>
    </w:p>
    <w:p>
      <w:pPr>
        <w:ind w:left="20" w:right="280"/>
        <w:spacing w:after="0" w:line="338" w:lineRule="auto"/>
        <w:rPr>
          <w:sz w:val="20"/>
          <w:szCs w:val="20"/>
          <w:color w:val="auto"/>
        </w:rPr>
      </w:pPr>
      <w:r>
        <w:rPr>
          <w:rFonts w:ascii="Arial" w:cs="Arial" w:eastAsia="Arial" w:hAnsi="Arial"/>
          <w:sz w:val="13"/>
          <w:szCs w:val="13"/>
          <w:color w:val="auto"/>
        </w:rPr>
        <w:t>Other comprehensive income (loss) Share-based compensation Shares issued under stock plans Purchases of treasury stock Balance at September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gridSpan w:val="5"/>
          </w:tcPr>
          <w:p>
            <w:pPr>
              <w:jc w:val="right"/>
              <w:ind w:right="668"/>
              <w:spacing w:after="0"/>
              <w:rPr>
                <w:sz w:val="20"/>
                <w:szCs w:val="20"/>
                <w:color w:val="auto"/>
              </w:rPr>
            </w:pPr>
            <w:r>
              <w:rPr>
                <w:rFonts w:ascii="Arial" w:cs="Arial" w:eastAsia="Arial" w:hAnsi="Arial"/>
                <w:sz w:val="14"/>
                <w:szCs w:val="14"/>
                <w:b w:val="1"/>
                <w:bCs w:val="1"/>
                <w:color w:val="auto"/>
              </w:rPr>
              <w:t>Fiserv, Inc. Shareholders’ Equity</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1780" w:type="dxa"/>
            <w:vAlign w:val="bottom"/>
            <w:gridSpan w:val="3"/>
          </w:tcPr>
          <w:p>
            <w:pPr>
              <w:ind w:left="26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1"/>
                <w:szCs w:val="11"/>
                <w:color w:val="auto"/>
              </w:rPr>
            </w:pPr>
          </w:p>
        </w:tc>
        <w:tc>
          <w:tcPr>
            <w:tcW w:w="128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00" w:type="dxa"/>
            <w:vAlign w:val="bottom"/>
          </w:tcPr>
          <w:p>
            <w:pPr>
              <w:spacing w:after="0"/>
              <w:rPr>
                <w:sz w:val="12"/>
                <w:szCs w:val="12"/>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Noncontrolling</w:t>
            </w:r>
          </w:p>
        </w:tc>
        <w:tc>
          <w:tcPr>
            <w:tcW w:w="120" w:type="dxa"/>
            <w:vAlign w:val="bottom"/>
          </w:tcPr>
          <w:p>
            <w:pPr>
              <w:spacing w:after="0"/>
              <w:rPr>
                <w:sz w:val="12"/>
                <w:szCs w:val="12"/>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8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248"/>
              <w:spacing w:after="0" w:line="14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28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7"/>
                <w:szCs w:val="17"/>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7"/>
                <w:szCs w:val="17"/>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w w:val="96"/>
              </w:rPr>
              <w:t>Earnings</w:t>
            </w:r>
          </w:p>
        </w:tc>
        <w:tc>
          <w:tcPr>
            <w:tcW w:w="140" w:type="dxa"/>
            <w:vAlign w:val="bottom"/>
          </w:tcPr>
          <w:p>
            <w:pPr>
              <w:spacing w:after="0"/>
              <w:rPr>
                <w:sz w:val="17"/>
                <w:szCs w:val="17"/>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7"/>
                <w:szCs w:val="17"/>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23,011</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17,376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(8,378)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31,527</w:t>
            </w:r>
          </w:p>
        </w:tc>
        <w:tc>
          <w:tcPr>
            <w:tcW w:w="0" w:type="dxa"/>
            <w:vAlign w:val="bottom"/>
          </w:tcPr>
          <w:p>
            <w:pPr>
              <w:spacing w:after="0"/>
              <w:rPr>
                <w:sz w:val="1"/>
                <w:szCs w:val="1"/>
                <w:color w:val="auto"/>
              </w:rPr>
            </w:pPr>
          </w:p>
        </w:tc>
      </w:tr>
      <w:tr>
        <w:trPr>
          <w:trHeight w:val="197"/>
        </w:trPr>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2,198</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2,221</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275</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(236)</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(3,684)</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(3,684)</w:t>
            </w: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23,056</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19,574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(11,899)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652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30,225</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-1379220</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-1113790</wp:posOffset>
            </wp:positionV>
            <wp:extent cx="7132320"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-685165</wp:posOffset>
            </wp:positionV>
            <wp:extent cx="713232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-427990</wp:posOffset>
            </wp:positionV>
            <wp:extent cx="713232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2360" w:space="20"/>
            <w:col w:w="8860"/>
          </w:cols>
          <w:pgMar w:left="320" w:top="125" w:right="339" w:bottom="1440" w:gutter="0" w:footer="0" w:header="0"/>
          <w:type w:val="continuous"/>
        </w:sectPr>
      </w:pPr>
    </w:p>
    <w:p>
      <w:pPr>
        <w:ind w:left="660" w:right="32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nine months ended September 30, 2023 is different than the amount presented in the consolidated statement of income due to the net income attributable to redeemable noncontrolling interests of $19 million not included in equity.</w:t>
      </w:r>
    </w:p>
    <w:p>
      <w:pPr>
        <w:spacing w:after="0" w:line="50" w:lineRule="exact"/>
        <w:rPr>
          <w:rFonts w:ascii="Arial" w:cs="Arial" w:eastAsia="Arial" w:hAnsi="Arial"/>
          <w:sz w:val="21"/>
          <w:szCs w:val="21"/>
          <w:color w:val="auto"/>
          <w:vertAlign w:val="superscript"/>
        </w:rPr>
      </w:pPr>
    </w:p>
    <w:p>
      <w:pPr>
        <w:ind w:left="660" w:right="14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nine months ended September 30, 2023 excludes $19 million in distributions paid to redeemable noncontrolling interests not included in equity.</w:t>
      </w:r>
    </w:p>
    <w:p>
      <w:pPr>
        <w:spacing w:after="0" w:line="50" w:lineRule="exact"/>
        <w:rPr>
          <w:rFonts w:ascii="Arial" w:cs="Arial" w:eastAsia="Arial" w:hAnsi="Arial"/>
          <w:sz w:val="21"/>
          <w:szCs w:val="21"/>
          <w:color w:val="auto"/>
          <w:vertAlign w:val="superscript"/>
        </w:rPr>
      </w:pPr>
    </w:p>
    <w:p>
      <w:pPr>
        <w:ind w:left="660" w:right="40" w:hanging="328"/>
        <w:spacing w:after="0" w:line="235" w:lineRule="auto"/>
        <w:tabs>
          <w:tab w:leader="none" w:pos="64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The Company acquired the remaining 49% ownership interest in European Merchant Services B.V., a Netherlands-based merchant acceptance business, during the nine months ended September 30, 2023. The Company previously held a majority controlling financial interest in this consolidated subsidiary.</w:t>
      </w:r>
    </w:p>
    <w:p>
      <w:pPr>
        <w:sectPr>
          <w:pgSz w:w="11900" w:h="16838" w:orient="portrait"/>
          <w:cols w:equalWidth="0" w:num="1">
            <w:col w:w="11240"/>
          </w:cols>
          <w:pgMar w:left="320" w:top="125" w:right="339" w:bottom="1440" w:gutter="0" w:footer="0" w:header="0"/>
          <w:type w:val="continuous"/>
        </w:sect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September 30, 2022</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2021</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Net income </w:t>
      </w:r>
      <w:r>
        <w:rPr>
          <w:rFonts w:ascii="Arial" w:cs="Arial" w:eastAsia="Arial" w:hAnsi="Arial"/>
          <w:sz w:val="9"/>
          <w:szCs w:val="9"/>
          <w:color w:val="auto"/>
        </w:rPr>
        <w:t>(1)</w:t>
      </w:r>
    </w:p>
    <w:p>
      <w:pPr>
        <w:spacing w:after="0" w:line="42" w:lineRule="exact"/>
        <w:rPr>
          <w:sz w:val="20"/>
          <w:szCs w:val="20"/>
          <w:color w:val="auto"/>
        </w:rPr>
      </w:pPr>
    </w:p>
    <w:p>
      <w:pPr>
        <w:ind w:left="180" w:hanging="161"/>
        <w:spacing w:after="0" w:line="227" w:lineRule="auto"/>
        <w:rPr>
          <w:sz w:val="20"/>
          <w:szCs w:val="20"/>
          <w:color w:val="auto"/>
        </w:rPr>
      </w:pPr>
      <w:r>
        <w:rPr>
          <w:rFonts w:ascii="Arial" w:cs="Arial" w:eastAsia="Arial" w:hAnsi="Arial"/>
          <w:sz w:val="14"/>
          <w:szCs w:val="14"/>
          <w:color w:val="auto"/>
        </w:rPr>
        <w:t xml:space="preserve">Distributions paid to noncontrolling interests </w:t>
      </w:r>
      <w:r>
        <w:rPr>
          <w:rFonts w:ascii="Arial" w:cs="Arial" w:eastAsia="Arial" w:hAnsi="Arial"/>
          <w:sz w:val="18"/>
          <w:szCs w:val="18"/>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stock plans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treasury stock</w:t>
      </w:r>
    </w:p>
    <w:p>
      <w:pPr>
        <w:spacing w:after="0" w:line="42" w:lineRule="exact"/>
        <w:rPr>
          <w:sz w:val="20"/>
          <w:szCs w:val="20"/>
          <w:color w:val="auto"/>
        </w:rPr>
      </w:pPr>
    </w:p>
    <w:p>
      <w:pPr>
        <w:jc w:val="right"/>
        <w:ind w:left="20" w:right="600"/>
        <w:spacing w:after="0" w:line="281" w:lineRule="auto"/>
        <w:rPr>
          <w:sz w:val="20"/>
          <w:szCs w:val="20"/>
          <w:color w:val="auto"/>
        </w:rPr>
      </w:pPr>
      <w:r>
        <w:rPr>
          <w:rFonts w:ascii="Arial" w:cs="Arial" w:eastAsia="Arial" w:hAnsi="Arial"/>
          <w:sz w:val="13"/>
          <w:szCs w:val="13"/>
          <w:color w:val="auto"/>
        </w:rPr>
        <w:t>Capital contribution from noncontrolling interest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September 30, 2022</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6"/>
        </w:trPr>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2"/>
                <w:szCs w:val="12"/>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97"/>
        </w:trPr>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7"/>
                <w:szCs w:val="17"/>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7"/>
                <w:szCs w:val="17"/>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7"/>
                <w:szCs w:val="17"/>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22,983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14,846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(6,140)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31,672</w:t>
            </w: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1,748</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1,762</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(794)</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(268)</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(1,750)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93"/>
        </w:trPr>
        <w:tc>
          <w:tcPr>
            <w:tcW w:w="8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880" w:type="dxa"/>
            <w:vAlign w:val="bottom"/>
          </w:tcPr>
          <w:p>
            <w:pPr>
              <w:jc w:val="right"/>
              <w:ind w:right="28"/>
              <w:spacing w:after="0"/>
              <w:rPr>
                <w:sz w:val="20"/>
                <w:szCs w:val="20"/>
                <w:color w:val="auto"/>
              </w:rPr>
            </w:pPr>
            <w:r>
              <w:rPr>
                <w:rFonts w:ascii="Arial" w:cs="Arial" w:eastAsia="Arial" w:hAnsi="Arial"/>
                <w:sz w:val="14"/>
                <w:szCs w:val="14"/>
                <w:color w:val="auto"/>
              </w:rPr>
              <w:t>784</w:t>
            </w:r>
          </w:p>
        </w:tc>
        <w:tc>
          <w:tcPr>
            <w:tcW w:w="8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22,959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(1,539)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16,594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(7,696)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656</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30,982</w:t>
            </w: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-1379220</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-1113790</wp:posOffset>
            </wp:positionV>
            <wp:extent cx="7132320"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-770890</wp:posOffset>
            </wp:positionV>
            <wp:extent cx="71323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-513715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8" w:lineRule="exact"/>
        <w:rPr>
          <w:sz w:val="20"/>
          <w:szCs w:val="20"/>
          <w:color w:val="auto"/>
        </w:rPr>
      </w:pPr>
    </w:p>
    <w:p>
      <w:pPr>
        <w:sectPr>
          <w:pgSz w:w="11900" w:h="16838" w:orient="portrait"/>
          <w:cols w:equalWidth="0" w:num="2">
            <w:col w:w="2100" w:space="280"/>
            <w:col w:w="8860"/>
          </w:cols>
          <w:pgMar w:left="320" w:top="125" w:right="339" w:bottom="1440" w:gutter="0" w:footer="0" w:header="0"/>
          <w:type w:val="continuous"/>
        </w:sectPr>
      </w:pPr>
    </w:p>
    <w:p>
      <w:pPr>
        <w:ind w:left="660" w:right="320" w:hanging="328"/>
        <w:spacing w:after="0" w:line="230" w:lineRule="auto"/>
        <w:tabs>
          <w:tab w:leader="none" w:pos="64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nine months ended September 30, 2022 is different than the amount presented in the consolidated statement of income due to the net income attributable to redeemable noncontrolling interests of $22 million not included in equity.</w:t>
      </w:r>
    </w:p>
    <w:p>
      <w:pPr>
        <w:spacing w:after="0" w:line="37" w:lineRule="exact"/>
        <w:rPr>
          <w:rFonts w:ascii="Arial" w:cs="Arial" w:eastAsia="Arial" w:hAnsi="Arial"/>
          <w:sz w:val="21"/>
          <w:szCs w:val="21"/>
          <w:color w:val="auto"/>
          <w:vertAlign w:val="superscript"/>
        </w:rPr>
      </w:pPr>
    </w:p>
    <w:p>
      <w:pPr>
        <w:ind w:left="660" w:right="140" w:hanging="328"/>
        <w:spacing w:after="0" w:line="223" w:lineRule="auto"/>
        <w:tabs>
          <w:tab w:leader="none" w:pos="64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nine months ended September 30, 2022 excludes $28 million in distributions paid to redeemable noncontrolling interests not included in equity.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40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400" w:type="dxa"/>
            <w:vAlign w:val="bottom"/>
            <w:gridSpan w:val="4"/>
          </w:tcPr>
          <w:p>
            <w:pPr>
              <w:spacing w:after="0"/>
              <w:rPr>
                <w:sz w:val="20"/>
                <w:szCs w:val="20"/>
                <w:color w:val="auto"/>
              </w:rPr>
            </w:pPr>
            <w:r>
              <w:rPr>
                <w:rFonts w:ascii="Arial" w:cs="Arial" w:eastAsia="Arial" w:hAnsi="Arial"/>
                <w:sz w:val="18"/>
                <w:szCs w:val="18"/>
                <w:b w:val="1"/>
                <w:bCs w:val="1"/>
                <w:color w:val="auto"/>
              </w:rPr>
              <w:t>13. Accumulated Other Comprehensive Loss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00" w:type="dxa"/>
            <w:vAlign w:val="bottom"/>
            <w:gridSpan w:val="13"/>
          </w:tcPr>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line="184" w:lineRule="exact"/>
              <w:rPr>
                <w:sz w:val="20"/>
                <w:szCs w:val="20"/>
                <w:color w:val="auto"/>
              </w:rPr>
            </w:pPr>
            <w:r>
              <w:rPr>
                <w:rFonts w:ascii="Arial" w:cs="Arial" w:eastAsia="Arial" w:hAnsi="Arial"/>
                <w:sz w:val="18"/>
                <w:szCs w:val="18"/>
                <w:b w:val="1"/>
                <w:bCs w:val="1"/>
                <w:color w:val="auto"/>
                <w:w w:val="91"/>
              </w:rPr>
              <w:t>Currency</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6"/>
                <w:szCs w:val="16"/>
                <w:color w:val="auto"/>
              </w:rPr>
            </w:pPr>
          </w:p>
        </w:tc>
        <w:tc>
          <w:tcPr>
            <w:tcW w:w="1480" w:type="dxa"/>
            <w:vAlign w:val="bottom"/>
            <w:gridSpan w:val="2"/>
          </w:tcPr>
          <w:p>
            <w:pPr>
              <w:ind w:left="140"/>
              <w:spacing w:after="0" w:line="194" w:lineRule="exact"/>
              <w:rPr>
                <w:sz w:val="20"/>
                <w:szCs w:val="20"/>
                <w:color w:val="auto"/>
              </w:rPr>
            </w:pPr>
            <w:r>
              <w:rPr>
                <w:rFonts w:ascii="Arial" w:cs="Arial" w:eastAsia="Arial" w:hAnsi="Arial"/>
                <w:sz w:val="18"/>
                <w:szCs w:val="18"/>
                <w:b w:val="1"/>
                <w:bCs w:val="1"/>
                <w:color w:val="auto"/>
              </w:rPr>
              <w:t>Derivatives</w:t>
            </w:r>
          </w:p>
        </w:tc>
        <w:tc>
          <w:tcPr>
            <w:tcW w:w="240" w:type="dxa"/>
            <w:vAlign w:val="bottom"/>
          </w:tcPr>
          <w:p>
            <w:pPr>
              <w:spacing w:after="0"/>
              <w:rPr>
                <w:sz w:val="16"/>
                <w:szCs w:val="16"/>
                <w:color w:val="auto"/>
              </w:rPr>
            </w:pPr>
          </w:p>
        </w:tc>
        <w:tc>
          <w:tcPr>
            <w:tcW w:w="150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6"/>
                <w:szCs w:val="16"/>
                <w:color w:val="auto"/>
              </w:rPr>
            </w:pPr>
          </w:p>
        </w:tc>
        <w:tc>
          <w:tcPr>
            <w:tcW w:w="15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Pension Plans</w:t>
            </w:r>
          </w:p>
        </w:tc>
        <w:tc>
          <w:tcPr>
            <w:tcW w:w="380" w:type="dxa"/>
            <w:vAlign w:val="bottom"/>
          </w:tcPr>
          <w:p>
            <w:pPr>
              <w:spacing w:after="0"/>
              <w:rPr>
                <w:sz w:val="16"/>
                <w:szCs w:val="16"/>
                <w:color w:val="auto"/>
              </w:rPr>
            </w:pPr>
          </w:p>
        </w:tc>
        <w:tc>
          <w:tcPr>
            <w:tcW w:w="1260" w:type="dxa"/>
            <w:vAlign w:val="bottom"/>
          </w:tcPr>
          <w:p>
            <w:pPr>
              <w:jc w:val="right"/>
              <w:ind w:right="530"/>
              <w:spacing w:after="0" w:line="19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Balance at June 30, 2023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center"/>
              <w:ind w:left="970"/>
              <w:spacing w:after="0"/>
              <w:rPr>
                <w:sz w:val="20"/>
                <w:szCs w:val="20"/>
                <w:color w:val="auto"/>
              </w:rPr>
            </w:pPr>
            <w:r>
              <w:rPr>
                <w:rFonts w:ascii="Arial" w:cs="Arial" w:eastAsia="Arial" w:hAnsi="Arial"/>
                <w:sz w:val="18"/>
                <w:szCs w:val="18"/>
                <w:color w:val="auto"/>
                <w:w w:val="93"/>
              </w:rPr>
              <w:t>(20)</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Other comprehensive income (loss) before reclassifications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gridSpan w:val="3"/>
          </w:tcPr>
          <w:p>
            <w:pPr>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restart"/>
          </w:tcPr>
          <w:p>
            <w:pPr>
              <w:jc w:val="center"/>
              <w:ind w:left="93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gridSpan w:val="3"/>
            <w:vMerge w:val="restart"/>
          </w:tcPr>
          <w:p>
            <w:pPr>
              <w:ind w:left="16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CCEEFF"/>
            </w:tcBorders>
          </w:tcPr>
          <w:p>
            <w:pPr>
              <w:spacing w:after="0"/>
              <w:rPr>
                <w:sz w:val="7"/>
                <w:szCs w:val="7"/>
                <w:color w:val="auto"/>
              </w:rPr>
            </w:pPr>
          </w:p>
        </w:tc>
        <w:tc>
          <w:tcPr>
            <w:tcW w:w="4380" w:type="dxa"/>
            <w:vAlign w:val="bottom"/>
            <w:tcBorders>
              <w:bottom w:val="single" w:sz="8" w:color="CCEEFF"/>
            </w:tcBorders>
            <w:gridSpan w:val="3"/>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current-period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Balance at September 30, 2023</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93"/>
              </w:rPr>
              <w:t>(20)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3" w:lineRule="exact"/>
        <w:rPr>
          <w:sz w:val="20"/>
          <w:szCs w:val="20"/>
          <w:color w:val="auto"/>
        </w:rPr>
      </w:pPr>
    </w:p>
    <w:p>
      <w:pPr>
        <w:ind w:left="20"/>
        <w:spacing w:after="0"/>
        <w:tabs>
          <w:tab w:leader="none" w:pos="4400" w:val="left"/>
        </w:tabs>
        <w:rPr>
          <w:sz w:val="20"/>
          <w:szCs w:val="20"/>
          <w:color w:val="auto"/>
        </w:rPr>
      </w:pPr>
      <w:r>
        <w:rPr>
          <w:rFonts w:ascii="Arial" w:cs="Arial" w:eastAsia="Arial" w:hAnsi="Arial"/>
          <w:sz w:val="18"/>
          <w:szCs w:val="18"/>
          <w:color w:val="auto"/>
        </w:rPr>
        <w:t>Balance at June 30, 2022</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34" w:lineRule="exact"/>
        <w:rPr>
          <w:sz w:val="20"/>
          <w:szCs w:val="20"/>
          <w:color w:val="auto"/>
        </w:rPr>
      </w:pPr>
    </w:p>
    <w:p>
      <w:pPr>
        <w:ind w:left="180" w:right="1580" w:hanging="161"/>
        <w:spacing w:after="0" w:line="234" w:lineRule="auto"/>
        <w:rPr>
          <w:sz w:val="20"/>
          <w:szCs w:val="20"/>
          <w:color w:val="auto"/>
        </w:rPr>
      </w:pPr>
      <w:r>
        <w:rPr>
          <w:rFonts w:ascii="Arial" w:cs="Arial" w:eastAsia="Arial" w:hAnsi="Arial"/>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0"/>
              </w:rPr>
              <w:t>(107)</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(933)</w:t>
            </w:r>
          </w:p>
        </w:tc>
        <w:tc>
          <w:tcPr>
            <w:tcW w:w="8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w:t>
            </w:r>
          </w:p>
        </w:tc>
        <w:tc>
          <w:tcPr>
            <w:tcW w:w="8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324"/>
        </w:trPr>
        <w:tc>
          <w:tcPr>
            <w:tcW w:w="4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8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-496570</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-205105</wp:posOffset>
            </wp:positionV>
            <wp:extent cx="713232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900" w:space="720"/>
            <w:col w:w="562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w:t>
            </w:r>
          </w:p>
        </w:tc>
        <w:tc>
          <w:tcPr>
            <w:tcW w:w="6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Nine Months Ended September 30, 2023</w:t>
      </w:r>
    </w:p>
    <w:p>
      <w:pPr>
        <w:spacing w:after="0" w:line="27" w:lineRule="exact"/>
        <w:rPr>
          <w:sz w:val="20"/>
          <w:szCs w:val="20"/>
          <w:color w:val="auto"/>
        </w:rPr>
      </w:pPr>
    </w:p>
    <w:p>
      <w:pPr>
        <w:ind w:left="20"/>
        <w:spacing w:after="0"/>
        <w:tabs>
          <w:tab w:leader="none" w:pos="4400" w:val="left"/>
        </w:tabs>
        <w:rPr>
          <w:sz w:val="20"/>
          <w:szCs w:val="20"/>
          <w:color w:val="auto"/>
        </w:rPr>
      </w:pPr>
      <w:r>
        <w:rPr>
          <w:rFonts w:ascii="Arial" w:cs="Arial" w:eastAsia="Arial" w:hAnsi="Arial"/>
          <w:sz w:val="18"/>
          <w:szCs w:val="18"/>
          <w:color w:val="auto"/>
        </w:rPr>
        <w:t>Balance at December 31, 2022</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34" w:lineRule="exact"/>
        <w:rPr>
          <w:sz w:val="20"/>
          <w:szCs w:val="20"/>
          <w:color w:val="auto"/>
        </w:rPr>
      </w:pPr>
    </w:p>
    <w:p>
      <w:pPr>
        <w:ind w:left="180" w:right="1580" w:hanging="161"/>
        <w:spacing w:after="0" w:line="234" w:lineRule="auto"/>
        <w:rPr>
          <w:sz w:val="20"/>
          <w:szCs w:val="20"/>
          <w:color w:val="auto"/>
        </w:rPr>
      </w:pPr>
      <w:r>
        <w:rPr>
          <w:rFonts w:ascii="Arial" w:cs="Arial" w:eastAsia="Arial" w:hAnsi="Arial"/>
          <w:sz w:val="18"/>
          <w:szCs w:val="18"/>
          <w:color w:val="auto"/>
        </w:rPr>
        <w:t>Amounts reclassified from accumulated other comprehensive loss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90"/>
              </w:rPr>
              <w:t>(103)</w:t>
            </w:r>
          </w:p>
        </w:tc>
        <w:tc>
          <w:tcPr>
            <w:tcW w:w="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(1,064)</w:t>
            </w:r>
          </w:p>
        </w:tc>
        <w:tc>
          <w:tcPr>
            <w:tcW w:w="7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(1,189)</w:t>
            </w:r>
          </w:p>
        </w:tc>
      </w:tr>
      <w:tr>
        <w:trPr>
          <w:trHeight w:val="230"/>
        </w:trPr>
        <w:tc>
          <w:tcPr>
            <w:tcW w:w="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7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-642620</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-350520</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0" w:lineRule="exact"/>
        <w:rPr>
          <w:sz w:val="20"/>
          <w:szCs w:val="20"/>
          <w:color w:val="auto"/>
        </w:rPr>
      </w:pPr>
    </w:p>
    <w:p>
      <w:pPr>
        <w:sectPr>
          <w:pgSz w:w="11900" w:h="16838" w:orient="portrait"/>
          <w:cols w:equalWidth="0" w:num="2">
            <w:col w:w="4900" w:space="720"/>
            <w:col w:w="562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current-period other comprehensive income</w:t>
            </w: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Balance at September 30, 2023</w:t>
            </w: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w:t>
            </w:r>
          </w:p>
        </w:tc>
        <w:tc>
          <w:tcPr>
            <w:tcW w:w="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175"/>
        </w:trPr>
        <w:tc>
          <w:tcPr>
            <w:tcW w:w="4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6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49"/>
        </w:trPr>
        <w:tc>
          <w:tcPr>
            <w:tcW w:w="44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6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400" w:type="dxa"/>
            <w:vAlign w:val="bottom"/>
            <w:vMerge w:val="continue"/>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94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recognized $76 million and $89 million of share-based compensation expense during the three months ended September 30, 2023 and 2022, respectively, and $275 million and $244 million of share-based compensation expense during the nine months ended September 30, 2023 and 2022, respectively. The Company’s share-based compensation awards are typically granted in the first quarter of the year, and may also occur throughout the year in conjunction with acquisitions of businesses. At September 30, 2023, the total remaining unrecognized compensation cost for restricted stock units and awards, performance share units, and unvested stock options, net of estimated forfeitures, of $461 million is expected to be recognized over a weighted-average period of 1.9 years.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summary of restricted stock unit, restricted stock award and performance share unit activity during the nine months ended September 30, 2023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320" w:type="dxa"/>
            <w:vAlign w:val="bottom"/>
            <w:gridSpan w:val="5"/>
          </w:tcPr>
          <w:p>
            <w:pPr>
              <w:ind w:left="260"/>
              <w:spacing w:after="0"/>
              <w:rPr>
                <w:sz w:val="20"/>
                <w:szCs w:val="20"/>
                <w:color w:val="auto"/>
              </w:rPr>
            </w:pPr>
            <w:r>
              <w:rPr>
                <w:rFonts w:ascii="Arial" w:cs="Arial" w:eastAsia="Arial" w:hAnsi="Arial"/>
                <w:sz w:val="18"/>
                <w:szCs w:val="18"/>
                <w:b w:val="1"/>
                <w:bCs w:val="1"/>
                <w:color w:val="auto"/>
              </w:rPr>
              <w:t>Restricted Stock Units and Awards</w:t>
            </w:r>
          </w:p>
        </w:tc>
        <w:tc>
          <w:tcPr>
            <w:tcW w:w="32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Performance Share Units</w:t>
            </w: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166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Pr>
          <w:p>
            <w:pPr>
              <w:spacing w:after="0"/>
              <w:rPr>
                <w:sz w:val="15"/>
                <w:szCs w:val="15"/>
                <w:color w:val="auto"/>
              </w:rPr>
            </w:pPr>
          </w:p>
        </w:tc>
        <w:tc>
          <w:tcPr>
            <w:tcW w:w="168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156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b w:val="1"/>
                <w:bCs w:val="1"/>
                <w:color w:val="auto"/>
                <w:w w:val="92"/>
              </w:rPr>
              <w:t>Weighted-Average</w:t>
            </w:r>
          </w:p>
        </w:tc>
        <w:tc>
          <w:tcPr>
            <w:tcW w:w="0" w:type="dxa"/>
            <w:vAlign w:val="bottom"/>
          </w:tcPr>
          <w:p>
            <w:pPr>
              <w:spacing w:after="0"/>
              <w:rPr>
                <w:sz w:val="1"/>
                <w:szCs w:val="1"/>
                <w:color w:val="auto"/>
              </w:rPr>
            </w:pPr>
          </w:p>
        </w:tc>
      </w:tr>
      <w:tr>
        <w:trPr>
          <w:trHeight w:val="180"/>
        </w:trPr>
        <w:tc>
          <w:tcPr>
            <w:tcW w:w="46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20"/>
              <w:spacing w:after="0" w:line="181" w:lineRule="exact"/>
              <w:rPr>
                <w:sz w:val="20"/>
                <w:szCs w:val="20"/>
                <w:color w:val="auto"/>
              </w:rPr>
            </w:pPr>
            <w:r>
              <w:rPr>
                <w:rFonts w:ascii="Arial" w:cs="Arial" w:eastAsia="Arial" w:hAnsi="Arial"/>
                <w:sz w:val="18"/>
                <w:szCs w:val="18"/>
                <w:b w:val="1"/>
                <w:bCs w:val="1"/>
                <w:color w:val="auto"/>
                <w:w w:val="95"/>
              </w:rPr>
              <w:t>Grant Date Fair</w:t>
            </w:r>
          </w:p>
        </w:tc>
        <w:tc>
          <w:tcPr>
            <w:tcW w:w="1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70"/>
              <w:spacing w:after="0" w:line="181" w:lineRule="exact"/>
              <w:rPr>
                <w:sz w:val="20"/>
                <w:szCs w:val="20"/>
                <w:color w:val="auto"/>
              </w:rPr>
            </w:pPr>
            <w:r>
              <w:rPr>
                <w:rFonts w:ascii="Arial" w:cs="Arial" w:eastAsia="Arial" w:hAnsi="Arial"/>
                <w:sz w:val="18"/>
                <w:szCs w:val="18"/>
                <w:b w:val="1"/>
                <w:bCs w:val="1"/>
                <w:color w:val="auto"/>
                <w:w w:val="96"/>
              </w:rPr>
              <w:t>Grant Date Fair</w:t>
            </w:r>
          </w:p>
        </w:tc>
        <w:tc>
          <w:tcPr>
            <w:tcW w:w="0" w:type="dxa"/>
            <w:vAlign w:val="bottom"/>
          </w:tcPr>
          <w:p>
            <w:pPr>
              <w:spacing w:after="0"/>
              <w:rPr>
                <w:sz w:val="1"/>
                <w:szCs w:val="1"/>
                <w:color w:val="auto"/>
              </w:rPr>
            </w:pPr>
          </w:p>
        </w:tc>
      </w:tr>
      <w:tr>
        <w:trPr>
          <w:trHeight w:val="229"/>
        </w:trPr>
        <w:tc>
          <w:tcPr>
            <w:tcW w:w="468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9"/>
                <w:szCs w:val="19"/>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and awards - December 31, 2022</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and awards - September 30, 2023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during the nine months ended September 30, 2023 is as follows: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166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156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30"/>
        </w:trPr>
        <w:tc>
          <w:tcPr>
            <w:tcW w:w="4640" w:type="dxa"/>
            <w:vAlign w:val="bottom"/>
            <w:vMerge w:val="restart"/>
          </w:tcPr>
          <w:p>
            <w:pPr>
              <w:spacing w:after="0"/>
              <w:rPr>
                <w:sz w:val="20"/>
                <w:szCs w:val="20"/>
                <w:color w:val="auto"/>
              </w:rPr>
            </w:pPr>
            <w:r>
              <w:rPr>
                <w:rFonts w:ascii="Arial" w:cs="Arial" w:eastAsia="Arial" w:hAnsi="Arial"/>
                <w:sz w:val="18"/>
                <w:szCs w:val="18"/>
                <w:color w:val="auto"/>
              </w:rPr>
              <w:t>Stock options outstanding - December 31, 2022</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Exercise 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(Years)</w:t>
            </w:r>
          </w:p>
        </w:tc>
        <w:tc>
          <w:tcPr>
            <w:tcW w:w="0" w:type="dxa"/>
            <w:vAlign w:val="bottom"/>
          </w:tcPr>
          <w:p>
            <w:pPr>
              <w:spacing w:after="0"/>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6,336</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112.83</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58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right="40" w:hanging="33"/>
        <w:spacing w:after="0" w:line="294" w:lineRule="auto"/>
        <w:rPr>
          <w:sz w:val="20"/>
          <w:szCs w:val="20"/>
          <w:color w:val="auto"/>
        </w:rPr>
      </w:pPr>
      <w:r>
        <w:rPr>
          <w:rFonts w:ascii="Arial" w:cs="Arial" w:eastAsia="Arial" w:hAnsi="Arial"/>
          <w:sz w:val="16"/>
          <w:szCs w:val="16"/>
          <w:b w:val="1"/>
          <w:bCs w:val="1"/>
          <w:color w:val="auto"/>
        </w:rPr>
        <w:t>Aggregate Intrinsic Value (In millions)</w:t>
      </w:r>
    </w:p>
    <w:p>
      <w:pPr>
        <w:spacing w:after="0" w:line="903" w:lineRule="exact"/>
        <w:rPr>
          <w:sz w:val="20"/>
          <w:szCs w:val="20"/>
          <w:color w:val="auto"/>
        </w:rPr>
      </w:pPr>
    </w:p>
    <w:p>
      <w:pPr>
        <w:sectPr>
          <w:pgSz w:w="11900" w:h="16838" w:orient="portrait"/>
          <w:cols w:equalWidth="0" w:num="2">
            <w:col w:w="9560" w:space="180"/>
            <w:col w:w="15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September 30, 2023</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 options exercisable - September 30, 2023</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4,006</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67.67</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provision and effective income tax rate were as follows: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400" w:type="dxa"/>
            <w:vAlign w:val="bottom"/>
          </w:tcPr>
          <w:p>
            <w:pPr>
              <w:spacing w:after="0"/>
              <w:rPr>
                <w:sz w:val="18"/>
                <w:szCs w:val="18"/>
                <w:color w:val="auto"/>
              </w:rPr>
            </w:pPr>
          </w:p>
        </w:tc>
        <w:tc>
          <w:tcPr>
            <w:tcW w:w="3100" w:type="dxa"/>
            <w:vAlign w:val="bottom"/>
            <w:gridSpan w:val="4"/>
          </w:tcPr>
          <w:p>
            <w:pPr>
              <w:jc w:val="center"/>
              <w:ind w:right="310"/>
              <w:spacing w:after="0"/>
              <w:rPr>
                <w:sz w:val="20"/>
                <w:szCs w:val="20"/>
                <w:color w:val="auto"/>
              </w:rPr>
            </w:pPr>
            <w:r>
              <w:rPr>
                <w:rFonts w:ascii="Arial" w:cs="Arial" w:eastAsia="Arial" w:hAnsi="Arial"/>
                <w:sz w:val="18"/>
                <w:szCs w:val="18"/>
                <w:b w:val="1"/>
                <w:bCs w:val="1"/>
                <w:color w:val="auto"/>
                <w:w w:val="91"/>
              </w:rPr>
              <w:t>Nine Months Ended</w:t>
            </w:r>
          </w:p>
        </w:tc>
      </w:tr>
      <w:tr>
        <w:trPr>
          <w:trHeight w:val="239"/>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Borders>
              <w:bottom w:val="single" w:sz="8" w:color="auto"/>
            </w:tcBorders>
          </w:tcPr>
          <w:p>
            <w:pPr>
              <w:spacing w:after="0"/>
              <w:rPr>
                <w:sz w:val="20"/>
                <w:szCs w:val="20"/>
                <w:color w:val="auto"/>
              </w:rPr>
            </w:pPr>
          </w:p>
        </w:tc>
      </w:tr>
      <w:tr>
        <w:trPr>
          <w:trHeight w:val="187"/>
        </w:trPr>
        <w:tc>
          <w:tcPr>
            <w:tcW w:w="414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6"/>
                <w:szCs w:val="16"/>
                <w:color w:val="auto"/>
              </w:rPr>
            </w:pPr>
          </w:p>
        </w:tc>
        <w:tc>
          <w:tcPr>
            <w:tcW w:w="1300" w:type="dxa"/>
            <w:vAlign w:val="bottom"/>
          </w:tcPr>
          <w:p>
            <w:pPr>
              <w:jc w:val="right"/>
              <w:ind w:right="570"/>
              <w:spacing w:after="0" w:line="187"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jc w:val="right"/>
              <w:ind w:right="570"/>
              <w:spacing w:after="0" w:line="187"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590"/>
              <w:spacing w:after="0" w:line="187" w:lineRule="exact"/>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jc w:val="right"/>
              <w:ind w:right="570"/>
              <w:spacing w:after="0" w:line="187" w:lineRule="exact"/>
              <w:rPr>
                <w:sz w:val="20"/>
                <w:szCs w:val="20"/>
                <w:color w:val="auto"/>
              </w:rPr>
            </w:pPr>
            <w:r>
              <w:rPr>
                <w:rFonts w:ascii="Arial" w:cs="Arial" w:eastAsia="Arial" w:hAnsi="Arial"/>
                <w:sz w:val="18"/>
                <w:szCs w:val="18"/>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382</w:t>
            </w:r>
          </w:p>
        </w:tc>
      </w:tr>
      <w:tr>
        <w:trPr>
          <w:trHeight w:val="230"/>
        </w:trPr>
        <w:tc>
          <w:tcPr>
            <w:tcW w:w="4140" w:type="dxa"/>
            <w:vAlign w:val="bottom"/>
            <w:gridSpan w:val="3"/>
          </w:tcPr>
          <w:p>
            <w:pPr>
              <w:ind w:left="20"/>
              <w:spacing w:after="0"/>
              <w:rPr>
                <w:sz w:val="20"/>
                <w:szCs w:val="20"/>
                <w:color w:val="auto"/>
              </w:rPr>
            </w:pPr>
            <w:r>
              <w:rPr>
                <w:rFonts w:ascii="Arial" w:cs="Arial" w:eastAsia="Arial" w:hAnsi="Arial"/>
                <w:sz w:val="18"/>
                <w:szCs w:val="18"/>
                <w:color w:val="auto"/>
              </w:rPr>
              <w:t>Effective income tax rate</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19.7 %</w:t>
            </w:r>
          </w:p>
        </w:tc>
      </w:tr>
    </w:tbl>
    <w:p>
      <w:pPr>
        <w:spacing w:after="0" w:line="228"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income tax provision as a percentage of income before income taxes and (loss) income from investments in unconsolidated affiliates was 19.8% and 22.5% for the three months ended September 30, 2023 and 2022, respectively, and 19.5% and 19.7% for the nine months ended September 30, 2023 and 2022, respectively. For the three months ended September 30, 2023, the effective income tax rate included tax benefits from subsidiary restructurings and the purchase of transferable renewable energy tax credits.</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effective income tax rate for both the nine months ended September 30, 2023 and 2022 included discrete tax benefits from subsidiary restructurings and equity compensation related tax benefits. The effective income tax rate for the nine months ended September 30, 2023 also included tax benefits from the purchase of transferable renewable energy tax credits.</w:t>
      </w:r>
    </w:p>
    <w:p>
      <w:pPr>
        <w:spacing w:after="0" w:line="13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potential liability for unrecognized tax benefits before interest and penalties was approximately $84 million at September 30, 2023. The Company believes it is reasonably possible that the liability for unrecognized tax benefits may decrease by up to $7 million over the next twelve months as a result of possible closure of tax audits, audit settlements, and the lapse of the statutes of limitations in various jurisdictions.</w:t>
      </w:r>
    </w:p>
    <w:p>
      <w:pPr>
        <w:spacing w:after="0" w:line="11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2023, the Company’s U.S. federal income tax return for 2022, and tax returns in certain states and foreign jurisdictions for 2015 through 2022, remain subject to examination by taxing authorities.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share is as follows: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52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2180" w:type="dxa"/>
            <w:vAlign w:val="bottom"/>
            <w:gridSpan w:val="3"/>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8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52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2180" w:type="dxa"/>
            <w:vAlign w:val="bottom"/>
            <w:gridSpan w:val="3"/>
          </w:tcPr>
          <w:p>
            <w:pPr>
              <w:ind w:left="540"/>
              <w:spacing w:after="0"/>
              <w:rPr>
                <w:sz w:val="20"/>
                <w:szCs w:val="20"/>
                <w:color w:val="auto"/>
              </w:rPr>
            </w:pPr>
            <w:r>
              <w:rPr>
                <w:rFonts w:ascii="Arial" w:cs="Arial" w:eastAsia="Arial" w:hAnsi="Arial"/>
                <w:sz w:val="18"/>
                <w:szCs w:val="18"/>
                <w:b w:val="1"/>
                <w:bCs w:val="1"/>
                <w:color w:val="auto"/>
              </w:rPr>
              <w:t>September 30,</w:t>
            </w:r>
          </w:p>
        </w:tc>
      </w:tr>
      <w:tr>
        <w:trPr>
          <w:trHeight w:val="187"/>
        </w:trPr>
        <w:tc>
          <w:tcPr>
            <w:tcW w:w="65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140" w:type="dxa"/>
            <w:vAlign w:val="bottom"/>
            <w:tcBorders>
              <w:top w:val="single" w:sz="8" w:color="auto"/>
            </w:tcBorders>
          </w:tcPr>
          <w:p>
            <w:pPr>
              <w:ind w:left="400"/>
              <w:spacing w:after="0" w:line="187"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290"/>
              <w:spacing w:after="0" w:line="187"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6"/>
                <w:szCs w:val="16"/>
                <w:color w:val="auto"/>
              </w:rPr>
            </w:pPr>
          </w:p>
        </w:tc>
        <w:tc>
          <w:tcPr>
            <w:tcW w:w="1040" w:type="dxa"/>
            <w:vAlign w:val="bottom"/>
            <w:tcBorders>
              <w:top w:val="single" w:sz="8" w:color="auto"/>
            </w:tcBorders>
          </w:tcPr>
          <w:p>
            <w:pPr>
              <w:ind w:left="340"/>
              <w:spacing w:after="0" w:line="187" w:lineRule="exact"/>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50"/>
              <w:spacing w:after="0" w:line="187" w:lineRule="exact"/>
              <w:rPr>
                <w:sz w:val="20"/>
                <w:szCs w:val="20"/>
                <w:color w:val="auto"/>
              </w:rPr>
            </w:pPr>
            <w:r>
              <w:rPr>
                <w:rFonts w:ascii="Arial" w:cs="Arial" w:eastAsia="Arial" w:hAnsi="Arial"/>
                <w:sz w:val="18"/>
                <w:szCs w:val="18"/>
                <w:b w:val="1"/>
                <w:bCs w:val="1"/>
                <w:color w:val="auto"/>
              </w:rPr>
              <w:t>2022</w:t>
            </w: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180" w:hanging="161"/>
        <w:spacing w:after="0" w:line="226" w:lineRule="auto"/>
        <w:rPr>
          <w:sz w:val="20"/>
          <w:szCs w:val="20"/>
          <w:color w:val="auto"/>
        </w:rPr>
      </w:pPr>
      <w:r>
        <w:rPr>
          <w:rFonts w:ascii="Arial" w:cs="Arial" w:eastAsia="Arial" w:hAnsi="Arial"/>
          <w:sz w:val="18"/>
          <w:szCs w:val="18"/>
          <w:color w:val="auto"/>
        </w:rPr>
        <w:t>Weighted-average common shares outstanding used for the calculation of net income attributable to Fiserv, Inc. per share - basic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6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3" w:lineRule="exact"/>
        <w:rPr>
          <w:sz w:val="20"/>
          <w:szCs w:val="20"/>
          <w:color w:val="auto"/>
        </w:rPr>
      </w:pPr>
    </w:p>
    <w:p>
      <w:pPr>
        <w:ind w:left="180" w:hanging="161"/>
        <w:spacing w:after="0" w:line="234" w:lineRule="auto"/>
        <w:rPr>
          <w:sz w:val="20"/>
          <w:szCs w:val="20"/>
          <w:color w:val="auto"/>
        </w:rPr>
      </w:pPr>
      <w:r>
        <w:rPr>
          <w:rFonts w:ascii="Arial" w:cs="Arial" w:eastAsia="Arial" w:hAnsi="Arial"/>
          <w:sz w:val="18"/>
          <w:szCs w:val="18"/>
          <w:color w:val="auto"/>
        </w:rPr>
        <w:t>Weighted-average common shares outstanding used for the calculation of net income attributable to Fiserv, Inc. per share - diluted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jc w:val="right"/>
              <w:spacing w:after="0"/>
              <w:rPr>
                <w:sz w:val="20"/>
                <w:szCs w:val="20"/>
                <w:color w:val="auto"/>
              </w:rPr>
            </w:pPr>
            <w:r>
              <w:rPr>
                <w:rFonts w:ascii="Arial" w:cs="Arial" w:eastAsia="Arial" w:hAnsi="Arial"/>
                <w:sz w:val="18"/>
                <w:szCs w:val="18"/>
                <w:color w:val="auto"/>
              </w:rPr>
              <w:t>606.2</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645.2</w:t>
            </w:r>
          </w:p>
        </w:tc>
      </w:tr>
      <w:tr>
        <w:trPr>
          <w:trHeight w:val="230"/>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372"/>
        </w:trPr>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10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w:t>
            </w:r>
          </w:p>
        </w:tc>
      </w:tr>
      <w:tr>
        <w:trPr>
          <w:trHeight w:val="21"/>
        </w:trPr>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400"/>
            <w:col w:w="4700"/>
          </w:cols>
          <w:pgMar w:left="320" w:top="125" w:right="339" w:bottom="1440" w:gutter="0" w:footer="0" w:header="0"/>
          <w:type w:val="continuous"/>
        </w:sectPr>
      </w:pPr>
    </w:p>
    <w:p>
      <w:pPr>
        <w:spacing w:after="0" w:line="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For the three months ended September 30, 2023 and 2022, stock options for 0.1 million and 1.6 million shares, respectively, were excluded from the calculation of weighted-average outstanding shares - diluted because their impact was anti-dilutive. For the nine months ended September 30, 2023 and 2022, stock options for 0.9 million and 1.8 million shares, respectively, were excluded from the calculation of weighted-average outstanding shares - diluted because their impact was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consisted of the following:</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1"/>
              </w:rPr>
              <w:t>Nine Months Ended</w:t>
            </w:r>
          </w:p>
        </w:tc>
        <w:tc>
          <w:tcPr>
            <w:tcW w:w="1220" w:type="dxa"/>
            <w:vAlign w:val="bottom"/>
          </w:tcPr>
          <w:p>
            <w:pPr>
              <w:spacing w:after="0"/>
              <w:rPr>
                <w:sz w:val="17"/>
                <w:szCs w:val="17"/>
                <w:color w:val="auto"/>
              </w:rPr>
            </w:pPr>
          </w:p>
        </w:tc>
      </w:tr>
      <w:tr>
        <w:trPr>
          <w:trHeight w:val="239"/>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6"/>
                <w:szCs w:val="16"/>
                <w:color w:val="auto"/>
              </w:rPr>
            </w:pPr>
          </w:p>
        </w:tc>
        <w:tc>
          <w:tcPr>
            <w:tcW w:w="1520" w:type="dxa"/>
            <w:vAlign w:val="bottom"/>
          </w:tcPr>
          <w:p>
            <w:pPr>
              <w:jc w:val="right"/>
              <w:ind w:right="710"/>
              <w:spacing w:after="0" w:line="187"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tcPr>
          <w:p>
            <w:pPr>
              <w:jc w:val="right"/>
              <w:ind w:right="710"/>
              <w:spacing w:after="0" w:line="187" w:lineRule="exact"/>
              <w:rPr>
                <w:sz w:val="20"/>
                <w:szCs w:val="20"/>
                <w:color w:val="auto"/>
              </w:rPr>
            </w:pPr>
            <w:r>
              <w:rPr>
                <w:rFonts w:ascii="Arial" w:cs="Arial" w:eastAsia="Arial" w:hAnsi="Arial"/>
                <w:sz w:val="18"/>
                <w:szCs w:val="18"/>
                <w:b w:val="1"/>
                <w:bCs w:val="1"/>
                <w:color w:val="auto"/>
                <w:w w:val="99"/>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Distribution of nonmonetary assets (see Note 11)</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obtained under financing arrangements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liabilities - operating leases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 - 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and Legislative Matters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normal course of business, the Company or its subsidiaries are named as defendants in lawsuits in which claims are asserted against the Company. The Company maintained accruals of $29 million and $21 million at September 30, 2023 and December 31, 2022, respectively, related to its various legal proceedings, primarily associated with the Company’s merchant acquiring business and certain tax matters. The Company’s estimate of the possible range of exposure for various litigation matters in excess of amounts accrued is $0 million to approximately $90 million. In the opinion of management, the liabilities, if any, which may ultimately result from such legal proceedings are not expected to have a material adverse effect on the Company’s consolidated financial statements.</w:t>
      </w:r>
    </w:p>
    <w:p>
      <w:pPr>
        <w:spacing w:after="0" w:line="138"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In June 2023, a Canadian tax law change related to the Goods and Services Tax / Harmonized Sales Tax (GST/HST) treatment of payment card services was enacted. The Company estimated its exposure related to this multi-year retroactive tax law change and recognized a pre-tax expense of $27 million within selling, general and administrative expenses in the consolidated statement of income during the nine months ended September 30, 2023.</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Company’s processing of electronic payments transactions, which are separate and distinct from the settlement payment transactions described in Note 1,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$1.2 billion and $1.7 billion at September 30, 2023 and December 31, 2022,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 portion of the Company’s business is conducted through merchant alliances between the Company and financial institutions.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w:t>
      </w:r>
    </w:p>
    <w:p>
      <w:pPr>
        <w:spacing w:after="0" w:line="1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$44 million and $47 million for the three months ended September 30, 2023 and 2022, respectively, and $135 million and $140 million for the nine months ended September 30, 2023 and 2022,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$42 million and $43 million of amounts due from unconsolidated merchant alliances included within trade accounts receivable, net in the Company’s consolidated balance sheets at September 30, 2023 and December 31, 2022,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totaled $1 million and $5 million during the three months ended September 30, 2023 and 2022, respectively, and $4 million and $14 million during the nine months ended September 30, 2023 and 2022, respectively, and were primarily recognized as processing and services revenue in the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August 7, 2023, the Company entered into a stock purchase agreement with ValueAct Capital Master Fund, L.P., an affiliate of which employed a member of the Company’s board of directors, to repurchase 4.1 million shares of the Company’s common stock for $121.98 per share in a privately negotiated transaction for an aggregate purchase price of $500 million. The repurchase was effected pursuant to an existing repurchase authorization for up to 75.0 million shares of the Company’s common stock approved by the Company’s board of directors on February 22, 2023. The share repurchase was completed on August 8, 2023, and the fair value of the repurchased shares of Company common stock was recorded to treasury stock during the three months ended September 30, 2023.</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Segment Information</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merchant acquiring and digital commerce services; mobile payment services; security and fraud protection products; Clover</w:t>
      </w:r>
      <w:r>
        <w:rPr>
          <w:rFonts w:ascii="Arial" w:cs="Arial" w:eastAsia="Arial" w:hAnsi="Arial"/>
          <w:sz w:val="22"/>
          <w:szCs w:val="22"/>
          <w:color w:val="auto"/>
          <w:vertAlign w:val="superscript"/>
        </w:rPr>
        <w:t>®</w:t>
      </w:r>
      <w:r>
        <w:rPr>
          <w:rFonts w:ascii="Arial" w:cs="Arial" w:eastAsia="Arial" w:hAnsi="Arial"/>
          <w:sz w:val="17"/>
          <w:szCs w:val="17"/>
          <w:color w:val="auto"/>
        </w:rPr>
        <w:t>, the Company’s cloud-based POS and integrated commerce operating system for small and mid-sized businesses and independent software vendors; and Carat</w:t>
      </w:r>
      <w:r>
        <w:rPr>
          <w:rFonts w:ascii="Arial" w:cs="Arial" w:eastAsia="Arial" w:hAnsi="Arial"/>
          <w:sz w:val="22"/>
          <w:szCs w:val="22"/>
          <w:color w:val="auto"/>
          <w:vertAlign w:val="superscript"/>
        </w:rPr>
        <w:t>SM</w:t>
      </w:r>
      <w:r>
        <w:rPr>
          <w:rFonts w:ascii="Arial" w:cs="Arial" w:eastAsia="Arial" w:hAnsi="Arial"/>
          <w:sz w:val="17"/>
          <w:szCs w:val="17"/>
          <w:color w:val="auto"/>
        </w:rPr>
        <w:t>, the Company’s integrated operating system for large businesses. The Company distributes the products and services in the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check processing,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4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and public sector clients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around the world, including merchants, distribution partners and financial institution customers in the Company’s other segments.</w:t>
      </w:r>
    </w:p>
    <w:p>
      <w:pPr>
        <w:spacing w:after="0" w:line="12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services revenue associated with various dispositions; and the Company’s Output Solutions postage reimbursements.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22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220" w:type="dxa"/>
            <w:vAlign w:val="bottom"/>
            <w:gridSpan w:val="4"/>
          </w:tcPr>
          <w:p>
            <w:pPr>
              <w:spacing w:after="0"/>
              <w:rPr>
                <w:sz w:val="20"/>
                <w:szCs w:val="20"/>
                <w:color w:val="auto"/>
              </w:rPr>
            </w:pPr>
            <w:r>
              <w:rPr>
                <w:rFonts w:ascii="Arial" w:cs="Arial" w:eastAsia="Arial" w:hAnsi="Arial"/>
                <w:sz w:val="18"/>
                <w:szCs w:val="18"/>
                <w:color w:val="auto"/>
              </w:rPr>
              <w:t>Operating results for each segment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7"/>
                <w:szCs w:val="17"/>
                <w:color w:val="auto"/>
              </w:rPr>
            </w:pPr>
          </w:p>
        </w:tc>
        <w:tc>
          <w:tcPr>
            <w:tcW w:w="124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7"/>
                <w:szCs w:val="17"/>
                <w:color w:val="auto"/>
              </w:rPr>
            </w:pPr>
          </w:p>
        </w:tc>
        <w:tc>
          <w:tcPr>
            <w:tcW w:w="1020" w:type="dxa"/>
            <w:vAlign w:val="bottom"/>
          </w:tcPr>
          <w:p>
            <w:pPr>
              <w:jc w:val="right"/>
              <w:ind w:right="37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 2022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1,603</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2023</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5,227</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2022</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4,681</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28</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outlook,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3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bank failures, or intensified international hostilities, and the impact they may have on us and our employees, clients, vendors, supply chain, operations and sales;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"Risk Factors” in our Annual Report on Form 10-K for the year ended December 31, 2022,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3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660" w:right="10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products and services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2022 in the accounting policies that we believe are important to our financial condition and results of operations and that require judgment and estimates on the part of management in their application.</w:t>
      </w:r>
    </w:p>
    <w:p>
      <w:pPr>
        <w:spacing w:after="0" w:line="129" w:lineRule="exact"/>
        <w:rPr>
          <w:rFonts w:ascii="Arial" w:cs="Arial" w:eastAsia="Arial" w:hAnsi="Arial"/>
          <w:sz w:val="18"/>
          <w:szCs w:val="18"/>
          <w:color w:val="auto"/>
        </w:rPr>
      </w:pPr>
    </w:p>
    <w:p>
      <w:pPr>
        <w:jc w:val="both"/>
        <w:ind w:left="660" w:right="62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This section contains an analysis of our results of operations presented in the accompanying unaudited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income by comparing the results for the three and nine months ended September 30, 2023 to the comparable period in 2022.</w:t>
      </w:r>
    </w:p>
    <w:p>
      <w:pPr>
        <w:spacing w:after="0" w:line="69" w:lineRule="exact"/>
        <w:rPr>
          <w:rFonts w:ascii="Arial" w:cs="Arial" w:eastAsia="Arial" w:hAnsi="Arial"/>
          <w:sz w:val="16"/>
          <w:szCs w:val="16"/>
          <w:color w:val="auto"/>
        </w:rPr>
      </w:pPr>
    </w:p>
    <w:p>
      <w:pPr>
        <w:ind w:left="660" w:right="3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cash flows and a discussion of our outstanding debt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are a leading global provider of payments and financial services technology solutions. We serve clients around the globe, including merchants, banks, credit unions, other financial institutions and corporate clients. We provide account processing and</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digital banking solutions; card issuer processing and network services; payments; e-commerce; merchant acquiring and processing; and the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cloud-based point-of-sale (“POS”) and business management platform.</w:t>
      </w:r>
    </w:p>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operations are comprised of the Merchant Acceptance (“Acceptance”) segment, the Financial Technology (“Fintech”) segment and the Payments and Network (“Payments”) segment.</w:t>
      </w:r>
    </w:p>
    <w:p>
      <w:pPr>
        <w:spacing w:after="0" w:line="116"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businesses in our Acceptance segment provide a wide range of commerce-enabling solutions and serve merchants of all sizes around the world. These solutions include merchant acquiring and digital commerce services; mobile payment services; security and fraud protection products; Clover, our cloud-based POS and integrated commerce operating system for small and mid-sized businesses (“SMBs”) and independent software vendors (“ISVs”); and Carat</w:t>
      </w:r>
      <w:r>
        <w:rPr>
          <w:rFonts w:ascii="Arial" w:cs="Arial" w:eastAsia="Arial" w:hAnsi="Arial"/>
          <w:sz w:val="22"/>
          <w:szCs w:val="22"/>
          <w:color w:val="auto"/>
          <w:vertAlign w:val="superscript"/>
        </w:rPr>
        <w:t>SM</w:t>
      </w:r>
      <w:r>
        <w:rPr>
          <w:rFonts w:ascii="Arial" w:cs="Arial" w:eastAsia="Arial" w:hAnsi="Arial"/>
          <w:sz w:val="17"/>
          <w:szCs w:val="17"/>
          <w:color w:val="auto"/>
        </w:rPr>
        <w:t>, our integrated operating system for large businesses. We distribute the products and services in the Acceptance segment businesses through a variety of channels, including direct sales teams, strategic partnerships with agent sales forces, ISVs,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3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check processing,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4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businesses in our Payments segment provide financial institutions and corporate and public sector clients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around the world, including merchants, distribution partners and financial institution customers in our other segments.</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our Output Solutions postage reimbursements.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frequently review our businesses to ensure we have the necessary assets to execute our strategy. We expect to acquire businesses when we identify: a compelling strategic need, such as a product, service or technology that helps meet client demand; an opportunity to change industry dynamics; a way to achieve business scale that enables competition and operational efficiency; or similar considerations. We expect to divest businesses that are not in line with our market, product or financial strategies. The results of operations for the following acquired and divested businesses are included in our consolidated results from the respective dates of acquisition and through the respective dates of disposition.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 of Businesses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December 29, 2022, we acquired OrangeData S.A. (“Yacaré”), an Argentina-based payment service provider that enables customers to transact at merchant locations using QR codes. Yacaré is included within the Acceptance segment and enhances our instant payment transaction capabilities. On December 20, 2022, we acquired Merchant One, Inc. (“Merchant One”), an independent sales organization (“ISO”) focused on acquiring merchants in the restaurant, retail and e-commerce industries using an innovative mix of direct and digital marketing strategies. Merchant One is included within the Acceptance segment and enhances our merchant distribution and sales force channels. On September 1, 2022, we acquired NexTable, Inc.</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(“NexTable”), a provider of cloud-based reservation and table management solutions for restaurants. NexTable is included within the Acceptance segment and expands our end-to-end restaurant solutions. On June 1, 2022, we acquired The LR2 Group, LLC (“City POS”), an ISO that promotes payment processing services and facilitates the sale of POS equipment for merchants. City POS is included within the Acceptance segment and expands our merchant services business. On April 1, 2022, we acquired the remaining majority controlling ownership interest in Finxact, Inc. (“Finxact”), a developer of cloud-native banking solutions powering digital transformation throughout the financial services sector. Finxact is included within the Fintech segment and advances our digital banking strategy, expanding our account processing, digital, and payments solutions. We acquired these businesses in 2022 for an aggregate purchase price of $994 million, net of $28 million of acquired cash, and including earn-out provisions estimated at a fair value of $6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 of Businesses</w:t>
      </w:r>
    </w:p>
    <w:p>
      <w:pPr>
        <w:spacing w:after="0" w:line="17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On July 25, 2023, we sold our financial reconciliation business, which was reported within the Fintech segment, for cash proceeds of $232 million, subject to final net working capital adjustments. We recognized a pre-tax gain of $177 million on the sale during the three months ended September 30, 2023.</w:t>
      </w:r>
    </w:p>
    <w:p>
      <w:pPr>
        <w:spacing w:after="0" w:line="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October 17, 2022, we sold Fiserv Costa Rica, S.A. and our Systems Integration Services (“SIS”) operations, which provides information technology engineering services in the United States (“U.S.”) and India, to a single buyer. Fiserv Costa Rica, S.A. and SIS were reported primarily within the Fintech segment. On September 30, 2022, we sold our Korea operations, which were reported within the Acceptance segment. We sold these operations in 2022 for total consideration of $99 million and recognized an aggregate net pre-tax loss on the sales of $76 million. During the first nine months of 2023, we recognized a pre-tax loss of $3 million associated with final working capital adjustments related to the disposition of Fiserv Costa Rica, S.A.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Transactions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September 25, 2023, we acquired the remaining 49% ownership interest in European Merchant Services B.V., a Netherlands-based merchant acceptance business, for $56 million. We previously held a majority controlling financial interest in this subsidiary, which continues to be consolidated and reported within the Acceptance segment.</w:t>
      </w:r>
    </w:p>
    <w:p>
      <w:pPr>
        <w:spacing w:after="0" w:line="130"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Effective March 2022, we mutually agreed with a minority partner to terminate one of our merchant alliance joint ventures. In conjunction with such termination, the joint venture minority partner elected to exercise its option to purchase certain additional merchant contracts of the joint venture for $175 million, resulting in the recognition of a pre-tax gain of $147 million during the first nine months of 2022.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Merchants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accept payments and help manage their everyday business operations. When combined with the ever-increasing ways a consumer can pay for goods and services, merchants have sought modern systems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41"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Additionally, there are numerous software-as-a-service (“SaaS”) solution providers in the industry, many of which have chosen to integrate merchant acquiring into their software as a way to generate revenue from existing client relationships. Such providers are typically referred to as ISVs, and we believe there are thousands of these potential distribution partnership opportunities available to us.</w:t>
      </w:r>
    </w:p>
    <w:p>
      <w:pPr>
        <w:spacing w:after="0" w:line="11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financial and non-financial institutions of all sizes, gives us a solid foundation for growth.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Institutions and Other Financial Technology Providers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Financial services providers regularly introduce and implement new payment, deposit, risk management, lending and investment products, and the distinctions among the products and services traditionally offered by different types of financial institutions and other financial technology providers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1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expect that financial institutions and other financial technology providers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number of financial institutions in the U.S. has declined at a relatively steady rate, primarily as a result of voluntary mergers and acquisitions.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These fees can vary from period to period depending on the level of financial institution merger activity and whether our clients are involved.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Market Conditions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Global macroeconomic conditions, including rising interest rates, inflation, bank failures, disruptions in the global supply chain, the effects of international hostilities and regulations restricting trade or impacting our ability to offer products or services, could have a material adverse effect on our business, results of operations and financial condition. While recent bank failures created uncertainty in the global financial markets, they did not have a material impact on our operating results. However, future bank failures could impact our receivable collections and cash flows or affect our ability to find merchant alliance partners. In addition, in recent years, we have observed increased shortages and delays in the global supply chain for components and inputs necessary to our businesses, such as semiconductors, paper and plastic, and may experience difficulty procuring those components and inputs in the future on a timely basis or at historical prices. We continue to monitor and actively manage our business in response to these unpredictable geopolitical and market conditions, as they may adversely impact our operations and financial results.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our operating results in certain foreign countries in which we operate may be adversely impacted by fluctuations in exchange rates for currencies other than the U.S. dollar, including the Euro, British pound sterling and Argentine peso. The strengthening of the U.S. dollar against certain foreign currencies in countries in which we operate would negatively impact our revenue and earnings.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 While the majority of our revenue is earned domestically, we continually monitor the foreign exchange rate environment in an effort to manage these risks.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In our Annual Report on Form 10-K for the year ended December 31, 2022, we identified our critical accounting policies and estimates. We continually evaluate the accounting policies and estimates that we use to prepare our consolidated financial statements, including for recently adopted accounting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pronouncements, and base our estimates on historical experience and assumptions that we believe are reasonable in light of current circumstances. Actual amounts and results could differ materially from these estimates. For example, we estimate the fair values of identifiable assets acquired and liabilities assumed in connection with acquisitions and may record purchase accounting adjustments during the measurement period, which may be up to one year from the acquisition date. Additionally, we review the carrying value of goodwill for impairment by comparing the estimated fair value of our reporting units to their carrying values. Determining the fair value of a reporting unit involves judgement and the use of significant estimates and assumptions, which include assumptions regarding the revenue growth rates and operating margins used to calculate estimated future cash flows, risk-adjusted discount rates and future economic and market conditions. There have been no material changes to our critical accounting policies and estimates from those disclosed in our Annual Report on Form 10-K for the year ended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w w:val="90"/>
              </w:rPr>
              <w:t>Three Months Ended September 30,</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Percentage of</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4"/>
              </w:rPr>
              <w:t xml:space="preserve">Revenue </w:t>
            </w:r>
            <w:r>
              <w:rPr>
                <w:rFonts w:ascii="Arial" w:cs="Arial" w:eastAsia="Arial" w:hAnsi="Arial"/>
                <w:sz w:val="23"/>
                <w:szCs w:val="23"/>
                <w:b w:val="1"/>
                <w:bCs w:val="1"/>
                <w:color w:val="auto"/>
                <w:w w:val="84"/>
                <w:vertAlign w:val="superscript"/>
              </w:rPr>
              <w:t>(1)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2"/>
              </w:rPr>
              <w:t>Increase (Decrease)</w:t>
            </w:r>
          </w:p>
        </w:tc>
      </w:tr>
      <w:tr>
        <w:trPr>
          <w:trHeight w:val="183"/>
        </w:trPr>
        <w:tc>
          <w:tcPr>
            <w:tcW w:w="20" w:type="dxa"/>
            <w:vAlign w:val="bottom"/>
          </w:tcPr>
          <w:p>
            <w:pPr>
              <w:spacing w:after="0"/>
              <w:rPr>
                <w:sz w:val="15"/>
                <w:szCs w:val="15"/>
                <w:color w:val="auto"/>
              </w:rPr>
            </w:pPr>
          </w:p>
        </w:tc>
        <w:tc>
          <w:tcPr>
            <w:tcW w:w="40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5"/>
                <w:szCs w:val="15"/>
                <w:color w:val="auto"/>
              </w:rPr>
            </w:pPr>
          </w:p>
        </w:tc>
        <w:tc>
          <w:tcPr>
            <w:tcW w:w="78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11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3,678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81.4 %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10"/>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23"/>
        </w:trPr>
        <w:tc>
          <w:tcPr>
            <w:tcW w:w="20" w:type="dxa"/>
            <w:vAlign w:val="bottom"/>
          </w:tcPr>
          <w:p>
            <w:pPr>
              <w:spacing w:after="0"/>
              <w:rPr>
                <w:sz w:val="19"/>
                <w:szCs w:val="19"/>
                <w:color w:val="auto"/>
              </w:rPr>
            </w:pPr>
          </w:p>
        </w:tc>
        <w:tc>
          <w:tcPr>
            <w:tcW w:w="408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175"/>
        </w:trPr>
        <w:tc>
          <w:tcPr>
            <w:tcW w:w="20" w:type="dxa"/>
            <w:vAlign w:val="bottom"/>
          </w:tcPr>
          <w:p>
            <w:pPr>
              <w:spacing w:after="0"/>
              <w:rPr>
                <w:sz w:val="15"/>
                <w:szCs w:val="15"/>
                <w:color w:val="auto"/>
              </w:rPr>
            </w:pPr>
          </w:p>
        </w:tc>
        <w:tc>
          <w:tcPr>
            <w:tcW w:w="4080" w:type="dxa"/>
            <w:vAlign w:val="bottom"/>
            <w:gridSpan w:val="2"/>
          </w:tcPr>
          <w:p>
            <w:pPr>
              <w:ind w:left="340"/>
              <w:spacing w:after="0" w:line="176" w:lineRule="exact"/>
              <w:rPr>
                <w:sz w:val="20"/>
                <w:szCs w:val="20"/>
                <w:color w:val="auto"/>
              </w:rPr>
            </w:pPr>
            <w:r>
              <w:rPr>
                <w:rFonts w:ascii="Arial" w:cs="Arial" w:eastAsia="Arial" w:hAnsi="Arial"/>
                <w:sz w:val="18"/>
                <w:szCs w:val="18"/>
                <w:color w:val="auto"/>
                <w:w w:val="99"/>
              </w:rPr>
              <w:t>Net (gain) loss on sale of businesses and other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08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2"/>
              </w:rPr>
              <w:t>Income before income taxes and loss from investments</w:t>
            </w:r>
          </w:p>
        </w:tc>
        <w:tc>
          <w:tcPr>
            <w:tcW w:w="2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 unconsolidated affiliates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29"/>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97 %</w:t>
            </w:r>
          </w:p>
        </w:tc>
      </w:tr>
      <w:tr>
        <w:trPr>
          <w:trHeight w:val="175"/>
        </w:trPr>
        <w:tc>
          <w:tcPr>
            <w:tcW w:w="20" w:type="dxa"/>
            <w:vAlign w:val="bottom"/>
            <w:shd w:val="clear" w:color="auto" w:fill="CCEEFF"/>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Less: net income attributable to noncontrolling interests</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redeemable noncontrolling interests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19.5 %</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260" w:hanging="328"/>
        <w:spacing w:after="0" w:line="223" w:lineRule="auto"/>
        <w:tabs>
          <w:tab w:leader="none" w:pos="64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8"/>
                <w:szCs w:val="18"/>
                <w:b w:val="1"/>
                <w:bCs w:val="1"/>
                <w:color w:val="auto"/>
                <w:w w:val="92"/>
              </w:rPr>
              <w:t>Nine Months Ended September 30,</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center"/>
              <w:ind w:right="120"/>
              <w:spacing w:after="0" w:line="169" w:lineRule="exact"/>
              <w:rPr>
                <w:sz w:val="20"/>
                <w:szCs w:val="20"/>
                <w:color w:val="auto"/>
              </w:rPr>
            </w:pPr>
            <w:r>
              <w:rPr>
                <w:rFonts w:ascii="Arial" w:cs="Arial" w:eastAsia="Arial" w:hAnsi="Arial"/>
                <w:sz w:val="18"/>
                <w:szCs w:val="18"/>
                <w:b w:val="1"/>
                <w:bCs w:val="1"/>
                <w:color w:val="auto"/>
                <w:w w:val="87"/>
              </w:rPr>
              <w:t>Percentage of</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Borders>
              <w:bottom w:val="single" w:sz="8" w:color="auto"/>
            </w:tcBorders>
            <w:gridSpan w:val="3"/>
          </w:tcPr>
          <w:p>
            <w:pPr>
              <w:jc w:val="center"/>
              <w:ind w:left="670"/>
              <w:spacing w:after="0" w:line="243" w:lineRule="exact"/>
              <w:rPr>
                <w:sz w:val="20"/>
                <w:szCs w:val="20"/>
                <w:color w:val="auto"/>
              </w:rPr>
            </w:pPr>
            <w:r>
              <w:rPr>
                <w:rFonts w:ascii="Arial" w:cs="Arial" w:eastAsia="Arial" w:hAnsi="Arial"/>
                <w:sz w:val="18"/>
                <w:szCs w:val="18"/>
                <w:b w:val="1"/>
                <w:bCs w:val="1"/>
                <w:color w:val="auto"/>
                <w:w w:val="84"/>
              </w:rPr>
              <w:t xml:space="preserve">Revenue </w:t>
            </w:r>
            <w:r>
              <w:rPr>
                <w:rFonts w:ascii="Arial" w:cs="Arial" w:eastAsia="Arial" w:hAnsi="Arial"/>
                <w:sz w:val="23"/>
                <w:szCs w:val="23"/>
                <w:b w:val="1"/>
                <w:bCs w:val="1"/>
                <w:color w:val="auto"/>
                <w:w w:val="84"/>
                <w:vertAlign w:val="superscript"/>
              </w:rPr>
              <w:t>(1)</w:t>
            </w:r>
          </w:p>
        </w:tc>
        <w:tc>
          <w:tcPr>
            <w:tcW w:w="7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5"/>
              </w:rPr>
              <w:t>Increase (Decrease)</w:t>
            </w:r>
          </w:p>
        </w:tc>
      </w:tr>
      <w:tr>
        <w:trPr>
          <w:trHeight w:val="183"/>
        </w:trPr>
        <w:tc>
          <w:tcPr>
            <w:tcW w:w="20" w:type="dxa"/>
            <w:vAlign w:val="bottom"/>
          </w:tcPr>
          <w:p>
            <w:pPr>
              <w:spacing w:after="0"/>
              <w:rPr>
                <w:sz w:val="15"/>
                <w:szCs w:val="15"/>
                <w:color w:val="auto"/>
              </w:rPr>
            </w:pPr>
          </w:p>
        </w:tc>
        <w:tc>
          <w:tcPr>
            <w:tcW w:w="41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3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5"/>
                <w:szCs w:val="15"/>
                <w:color w:val="auto"/>
              </w:rPr>
            </w:pPr>
          </w:p>
        </w:tc>
        <w:tc>
          <w:tcPr>
            <w:tcW w:w="114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ind w:right="310"/>
              <w:spacing w:after="0" w:line="182" w:lineRule="exact"/>
              <w:rPr>
                <w:sz w:val="20"/>
                <w:szCs w:val="20"/>
                <w:color w:val="auto"/>
              </w:rPr>
            </w:pPr>
            <w:r>
              <w:rPr>
                <w:rFonts w:ascii="Arial" w:cs="Arial" w:eastAsia="Arial" w:hAnsi="Arial"/>
                <w:sz w:val="18"/>
                <w:szCs w:val="18"/>
                <w:b w:val="1"/>
                <w:bCs w:val="1"/>
                <w:color w:val="auto"/>
                <w:w w:val="84"/>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81.9 %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81.9 %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14,176</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13,106</w:t>
            </w:r>
          </w:p>
        </w:tc>
        <w:tc>
          <w:tcPr>
            <w:tcW w:w="12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10"/>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6,012</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w w:val="97"/>
              </w:rPr>
              <w:t>Net gain on sale of businesses and other assets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w w:val="98"/>
              </w:rPr>
              <w:t>Income before income taxes and (loss) income from</w:t>
            </w: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unconsolidated 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176"/>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(Loss) income from investments in unconsolidated</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Less: net income attributable to noncontrolling interests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redeemable noncontrolling interests</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300" w:hanging="328"/>
        <w:spacing w:after="0" w:line="230"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ind w:left="500"/>
              <w:spacing w:after="0"/>
              <w:rPr>
                <w:sz w:val="20"/>
                <w:szCs w:val="20"/>
                <w:color w:val="auto"/>
              </w:rPr>
            </w:pPr>
            <w:r>
              <w:rPr>
                <w:rFonts w:ascii="Arial" w:cs="Arial" w:eastAsia="Arial" w:hAnsi="Arial"/>
                <w:sz w:val="18"/>
                <w:szCs w:val="18"/>
                <w:b w:val="1"/>
                <w:bCs w:val="1"/>
                <w:color w:val="auto"/>
              </w:rPr>
              <w:t>Three Months Ended September 30,</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Corporate</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6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4"/>
              </w:rPr>
              <w:t>Acceptance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Fintech</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8"/>
              </w:rPr>
              <w:t>Payments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and Other</w:t>
            </w:r>
          </w:p>
        </w:tc>
        <w:tc>
          <w:tcPr>
            <w:tcW w:w="340" w:type="dxa"/>
            <w:vAlign w:val="bottom"/>
          </w:tcPr>
          <w:p>
            <w:pPr>
              <w:spacing w:after="0"/>
              <w:rPr>
                <w:sz w:val="17"/>
                <w:szCs w:val="17"/>
                <w:color w:val="auto"/>
              </w:rPr>
            </w:pPr>
          </w:p>
        </w:tc>
        <w:tc>
          <w:tcPr>
            <w:tcW w:w="82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7"/>
                <w:szCs w:val="17"/>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7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2,106</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795</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1,704</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4,873</w:t>
            </w:r>
          </w:p>
        </w:tc>
        <w:tc>
          <w:tcPr>
            <w:tcW w:w="320" w:type="dxa"/>
            <w:vAlign w:val="bottom"/>
          </w:tcPr>
          <w:p>
            <w:pPr>
              <w:spacing w:after="0"/>
              <w:rPr>
                <w:sz w:val="19"/>
                <w:szCs w:val="19"/>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3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27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320" w:type="dxa"/>
            <w:vAlign w:val="bottom"/>
            <w:shd w:val="clear" w:color="auto" w:fill="CCEEFF"/>
          </w:tcPr>
          <w:p>
            <w:pPr>
              <w:spacing w:after="0"/>
              <w:rPr>
                <w:sz w:val="19"/>
                <w:szCs w:val="19"/>
                <w:color w:val="auto"/>
              </w:rPr>
            </w:pPr>
          </w:p>
        </w:tc>
      </w:tr>
      <w:tr>
        <w:trPr>
          <w:trHeight w:val="230"/>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2022</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c>
          <w:tcPr>
            <w:tcW w:w="3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3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20" w:type="dxa"/>
            <w:vAlign w:val="bottom"/>
          </w:tcPr>
          <w:p>
            <w:pPr>
              <w:spacing w:after="0"/>
              <w:rPr>
                <w:sz w:val="24"/>
                <w:szCs w:val="24"/>
                <w:color w:val="auto"/>
              </w:rPr>
            </w:pPr>
          </w:p>
        </w:tc>
        <w:tc>
          <w:tcPr>
            <w:tcW w:w="364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bps</w:t>
            </w: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bps</w:t>
            </w: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bps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1,190</w:t>
            </w:r>
          </w:p>
        </w:tc>
        <w:tc>
          <w:tcPr>
            <w:tcW w:w="320" w:type="dxa"/>
            <w:vAlign w:val="bottom"/>
          </w:tcPr>
          <w:p>
            <w:pPr>
              <w:jc w:val="right"/>
              <w:spacing w:after="0"/>
              <w:rPr>
                <w:sz w:val="20"/>
                <w:szCs w:val="20"/>
                <w:color w:val="auto"/>
              </w:rPr>
            </w:pPr>
            <w:r>
              <w:rPr>
                <w:rFonts w:ascii="Arial" w:cs="Arial" w:eastAsia="Arial" w:hAnsi="Arial"/>
                <w:sz w:val="18"/>
                <w:szCs w:val="18"/>
                <w:color w:val="auto"/>
                <w:w w:val="96"/>
              </w:rPr>
              <w:t>bps</w:t>
            </w:r>
          </w:p>
        </w:tc>
      </w:tr>
    </w:tbl>
    <w:p>
      <w:pPr>
        <w:spacing w:after="0" w:line="83"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in operating margin.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10"/>
          </w:tcPr>
          <w:p>
            <w:pPr>
              <w:ind w:left="540"/>
              <w:spacing w:after="0"/>
              <w:rPr>
                <w:sz w:val="20"/>
                <w:szCs w:val="20"/>
                <w:color w:val="auto"/>
              </w:rPr>
            </w:pPr>
            <w:r>
              <w:rPr>
                <w:rFonts w:ascii="Arial" w:cs="Arial" w:eastAsia="Arial" w:hAnsi="Arial"/>
                <w:sz w:val="18"/>
                <w:szCs w:val="18"/>
                <w:b w:val="1"/>
                <w:bCs w:val="1"/>
                <w:color w:val="auto"/>
              </w:rPr>
              <w:t>Nine Months Ended September 30,</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Corporate</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4"/>
              </w:rPr>
              <w:t>Acceptance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Fintech</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Payments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and Other</w:t>
            </w:r>
          </w:p>
        </w:tc>
        <w:tc>
          <w:tcPr>
            <w:tcW w:w="320" w:type="dxa"/>
            <w:vAlign w:val="bottom"/>
          </w:tcPr>
          <w:p>
            <w:pPr>
              <w:spacing w:after="0"/>
              <w:rPr>
                <w:sz w:val="17"/>
                <w:szCs w:val="17"/>
                <w:color w:val="auto"/>
              </w:rPr>
            </w:pPr>
          </w:p>
        </w:tc>
        <w:tc>
          <w:tcPr>
            <w:tcW w:w="8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Total</w:t>
            </w:r>
          </w:p>
        </w:tc>
        <w:tc>
          <w:tcPr>
            <w:tcW w:w="32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9"/>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7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6,018</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2,371</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4,978</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14,176</w:t>
            </w:r>
          </w:p>
        </w:tc>
        <w:tc>
          <w:tcPr>
            <w:tcW w:w="320" w:type="dxa"/>
            <w:vAlign w:val="bottom"/>
          </w:tcPr>
          <w:p>
            <w:pPr>
              <w:spacing w:after="0"/>
              <w:rPr>
                <w:sz w:val="19"/>
                <w:szCs w:val="19"/>
                <w:color w:val="auto"/>
              </w:rPr>
            </w:pPr>
          </w:p>
        </w:tc>
      </w:tr>
      <w:tr>
        <w:trPr>
          <w:trHeight w:val="229"/>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w:t>
            </w:r>
          </w:p>
        </w:tc>
        <w:tc>
          <w:tcPr>
            <w:tcW w:w="3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586</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381</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1,070</w:t>
            </w:r>
          </w:p>
        </w:tc>
        <w:tc>
          <w:tcPr>
            <w:tcW w:w="3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2023</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w:t>
            </w:r>
          </w:p>
        </w:tc>
        <w:tc>
          <w:tcPr>
            <w:tcW w:w="320" w:type="dxa"/>
            <w:vAlign w:val="bottom"/>
            <w:shd w:val="clear" w:color="auto" w:fill="CCEEFF"/>
          </w:tcPr>
          <w:p>
            <w:pPr>
              <w:spacing w:after="0"/>
              <w:rPr>
                <w:sz w:val="19"/>
                <w:szCs w:val="19"/>
                <w:color w:val="auto"/>
              </w:rPr>
            </w:pPr>
          </w:p>
        </w:tc>
      </w:tr>
      <w:tr>
        <w:trPr>
          <w:trHeight w:val="229"/>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2022</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2,561</w:t>
            </w:r>
          </w:p>
        </w:tc>
        <w:tc>
          <w:tcPr>
            <w:tcW w:w="3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880" w:type="dxa"/>
            <w:vAlign w:val="bottom"/>
            <w:gridSpan w:val="2"/>
          </w:tcPr>
          <w:p>
            <w:pPr>
              <w:ind w:left="360"/>
              <w:spacing w:after="0"/>
              <w:rPr>
                <w:sz w:val="20"/>
                <w:szCs w:val="20"/>
                <w:color w:val="auto"/>
              </w:rPr>
            </w:pPr>
            <w:r>
              <w:rPr>
                <w:rFonts w:ascii="Arial" w:cs="Arial" w:eastAsia="Arial" w:hAnsi="Arial"/>
                <w:sz w:val="18"/>
                <w:szCs w:val="18"/>
                <w:color w:val="auto"/>
              </w:rPr>
              <w:t>2023</w:t>
            </w:r>
          </w:p>
        </w:tc>
        <w:tc>
          <w:tcPr>
            <w:tcW w:w="2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2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20" w:type="dxa"/>
            <w:vAlign w:val="bottom"/>
          </w:tcPr>
          <w:p>
            <w:pPr>
              <w:spacing w:after="0"/>
              <w:rPr>
                <w:sz w:val="24"/>
                <w:szCs w:val="24"/>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w w:val="89"/>
              </w:rPr>
              <w:t>bps</w:t>
            </w:r>
          </w:p>
        </w:tc>
        <w:tc>
          <w:tcPr>
            <w:tcW w:w="860" w:type="dxa"/>
            <w:vAlign w:val="bottom"/>
          </w:tcPr>
          <w:p>
            <w:pPr>
              <w:jc w:val="right"/>
              <w:spacing w:after="0"/>
              <w:rPr>
                <w:sz w:val="20"/>
                <w:szCs w:val="20"/>
                <w:color w:val="auto"/>
              </w:rPr>
            </w:pPr>
            <w:r>
              <w:rPr>
                <w:rFonts w:ascii="Arial" w:cs="Arial" w:eastAsia="Arial" w:hAnsi="Arial"/>
                <w:sz w:val="18"/>
                <w:szCs w:val="18"/>
                <w:color w:val="auto"/>
              </w:rPr>
              <w:t>130</w:t>
            </w:r>
          </w:p>
        </w:tc>
        <w:tc>
          <w:tcPr>
            <w:tcW w:w="660" w:type="dxa"/>
            <w:vAlign w:val="bottom"/>
            <w:gridSpan w:val="3"/>
          </w:tcPr>
          <w:p>
            <w:pPr>
              <w:jc w:val="right"/>
              <w:ind w:right="360"/>
              <w:spacing w:after="0"/>
              <w:rPr>
                <w:sz w:val="20"/>
                <w:szCs w:val="20"/>
                <w:color w:val="auto"/>
              </w:rPr>
            </w:pPr>
            <w:r>
              <w:rPr>
                <w:rFonts w:ascii="Arial" w:cs="Arial" w:eastAsia="Arial" w:hAnsi="Arial"/>
                <w:sz w:val="18"/>
                <w:szCs w:val="18"/>
                <w:color w:val="auto"/>
                <w:w w:val="96"/>
              </w:rPr>
              <w:t>bps</w:t>
            </w:r>
          </w:p>
        </w:tc>
        <w:tc>
          <w:tcPr>
            <w:tcW w:w="920" w:type="dxa"/>
            <w:vAlign w:val="bottom"/>
          </w:tcPr>
          <w:p>
            <w:pPr>
              <w:jc w:val="right"/>
              <w:spacing w:after="0"/>
              <w:rPr>
                <w:sz w:val="20"/>
                <w:szCs w:val="20"/>
                <w:color w:val="auto"/>
              </w:rPr>
            </w:pPr>
            <w:r>
              <w:rPr>
                <w:rFonts w:ascii="Arial" w:cs="Arial" w:eastAsia="Arial" w:hAnsi="Arial"/>
                <w:sz w:val="18"/>
                <w:szCs w:val="18"/>
                <w:color w:val="auto"/>
              </w:rPr>
              <w:t>260</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bps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c>
          <w:tcPr>
            <w:tcW w:w="320" w:type="dxa"/>
            <w:vAlign w:val="bottom"/>
          </w:tcPr>
          <w:p>
            <w:pPr>
              <w:jc w:val="right"/>
              <w:spacing w:after="0"/>
              <w:rPr>
                <w:sz w:val="20"/>
                <w:szCs w:val="20"/>
                <w:color w:val="auto"/>
              </w:rPr>
            </w:pPr>
            <w:r>
              <w:rPr>
                <w:rFonts w:ascii="Arial" w:cs="Arial" w:eastAsia="Arial" w:hAnsi="Arial"/>
                <w:sz w:val="18"/>
                <w:szCs w:val="18"/>
                <w:color w:val="auto"/>
                <w:w w:val="96"/>
              </w:rPr>
              <w:t>bps</w:t>
            </w:r>
          </w:p>
        </w:tc>
      </w:tr>
    </w:tbl>
    <w:p>
      <w:pPr>
        <w:spacing w:after="0" w:line="137"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in operating margin.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Total revenue increased $355 million, or 8%, in the third quarter of 2023 and $1,070 million, or 8%, in the first nine months of 2023 compared to 2022. The revenue increase was primarily driven by higher global processing revenue, partially offset by a 4% and 3% decrease due to foreign currency exchange rate fluctuations in the third quarter and first nine months of 2023, respectively.</w:t>
      </w:r>
    </w:p>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Revenue in our Acceptance segment increased $228 million, or 12%, in the third quarter of 2023 and $586 million, or 11%, in the first nine months of 2023 compared to 2022. The revenue increase in both the third quarter and first nine months of 2023 was driven by higher global merchant acquiring payment volumes, primarily within our international operations. The revenue increase also includes contributions from our Clover and Carat operating systems and the expansion of our merchant relationships through value-added services. Acceptance segment revenue growth was partially offset by an 8% and 6% decrease due to foreign currency exchange rate fluctuations in the third quarter and first nine months of 2023, respectively.</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in our Fintech segment increased $29 million, or 4%, in the third quarter of 2023 and $24 million, or 1%, in the first nine months of 2023 compared to 2022. The revenue increase was primarily driven by higher processing revenue of 2% in both the third quarter and first nine months of 2023. Additionally, an increase in license revenue contributed 2% to Fintech segment revenue growth in the third quarter of 2023, while a decrease in termination fee revenue slightly offset growth in the first nine months of 2023.</w:t>
      </w:r>
    </w:p>
    <w:p>
      <w:pPr>
        <w:spacing w:after="0" w:line="133" w:lineRule="exact"/>
        <w:rPr>
          <w:sz w:val="20"/>
          <w:szCs w:val="20"/>
          <w:color w:val="auto"/>
        </w:rPr>
      </w:pPr>
    </w:p>
    <w:p>
      <w:pPr>
        <w:ind w:right="420"/>
        <w:spacing w:after="0" w:line="279" w:lineRule="auto"/>
        <w:rPr>
          <w:sz w:val="20"/>
          <w:szCs w:val="20"/>
          <w:color w:val="auto"/>
        </w:rPr>
      </w:pPr>
      <w:r>
        <w:rPr>
          <w:rFonts w:ascii="Arial" w:cs="Arial" w:eastAsia="Arial" w:hAnsi="Arial"/>
          <w:sz w:val="16"/>
          <w:szCs w:val="16"/>
          <w:color w:val="auto"/>
        </w:rPr>
        <w:t>Revenue in our Payments segment increased $87 million, or 5%, in the third quarter of 2023 and $381 million, or 8%, in the first nine months of 2023 compared to 2022. In the third quarter and first nine months of 2023, our debit processing business contributed 1% and 2%, respectively, to Payments segment revenue growth, primarily driven by an increase in debit transactions. Our credit processing businesses contributed 1% to Payments segment revenue growth in both the third quarter and first nine months of 2023, primarily driven by an increase in active accounts. Our Zelle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also contributed 1% to Payments segment revenue growth in both the third quarter and first nine months of 2023, driven by an increase in transactions. Additionally, Payments segment revenue growth includes an increase in termination fee revenue in the third quarter and first nine months of 2023.</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Revenue at Corporate and Other increased $11 million, or 4%, in the third quarter of 2023 and $79 million, or 11%, in the first nine months of 2023 compared to 2022, primarily due to increased postage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Total expenses decreased $293 million, or 8%, in the third quarter of 2023 and increased $63 million, or 1%, in the first nine months of 2023 compared to 2022. Total expenses as a percentage of total revenue decreased 1,190 basis points to 69.2% in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third quarter of 2023 and decreased 570 basis points to 74.8% in the first nine months of 2023 compared to 2022. Total expenses as a percentage of total revenue were favorably impacted in the third quarter and first nine months of 2023 by a reduction in amortization of acquisition-related intangible assets of approximately 110 basis points and 100 basis points in the third quarter and first nine months of 2023, respectively. Total expenses as a percentage of total revenue were also favorably impacted by operating leverage and a reduction in severance costs of approximately 30 basis points and 50 basis points in the third quarter and first nine months of 2023, respectively. The third quarter of 2023 also includes a $177 million pre-tax gain on the sale of our financial reconciliation business.</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Cost of processing and services as a percentage of processing and services revenue decreased to 32.7% in the third quarter of 2023 compared to 39.2% in the third quarter of 2022 and decreased to 35.0% in the first nine months of 2023 compared to 40.8% in the first nine months of 2022. Cost of processing and services as a percentage of processing and services revenue was favorably impacted by strong operating leverage accompanying scalable revenue growth and expense management initiatives.</w:t>
      </w:r>
    </w:p>
    <w:p>
      <w:pPr>
        <w:spacing w:after="0" w:line="133"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Cost of product as a percentage of product revenue increased to 67.4% in the third quarter of 2023 compared to 65.8% in the third quarter of 2022 and decreased slightly to 68.5% in the first nine months of 2023 compared to 68.9% in the first nine months of 2022. The cost of product as a percentage of product revenue in the third quarter of 2023 was impacted by revenue mix, including license fee and hardware revenue.</w:t>
      </w:r>
    </w:p>
    <w:p>
      <w:pPr>
        <w:spacing w:after="0" w:line="11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Selling, general and administrative expenses as a percentage of total revenue decreased to 33.9% in the third quarter of 2023 compared to 34.2% in the third quarter of 2022 and increased slightly to 34.9% in the first nine months of 2023 compared to 34.8% in the first nine months of 2022. Selling, general and administrative expenses as a percentage of total revenue includes a reduction in amortization of acquisition-related intangible assets of approximately 90 basis points in both the third quarter and first nine months of 2023. Selling, general and administrative expenses as a percentage of total revenue also includes a reduction of acquisition and integration related expenses of approximately 50 basis points in the third quarter of 2023. This impact was offset by an increase in personnel costs, including share-based compensation in both the third quarter and first nine months of 2023.</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net gain on sale of businesses and other assets in the third quarter and first nine months of 2023 includes a $177 million pre-tax gain from the sale of our financial reconciliation business. The third quarter of 2022 included a $120 million pre-tax loss from the sale of our Korea operations, offset by a $147 million pre-tax gain from the sale of certain merchant contracts in conjunction with the mutual termination of one of our merchant alliance joint ventures in the first nine months of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Total operating income increased $648 million, or 76%, in the third quarter of 2023 and increased $1,007 million, or 39%, in the first nine months of 2023 compared to 2022. Total operating margin increased 1,190 basis points to 30.8% in the third quarter of 2023 and increased 570 basis points to 25.2% in the first nine months of 2023 compared to 2022. Total operating income and total operating margin benefited from scalable revenue growth in the third quarter and first nine months of 2023, along with a reduction in amortization of acquisition related intangible assets and severance costs. Total operating margin in the third quarter and first nine months of 2023 was also favorably impacted by a $177 million pre-tax gain from the sale of our financial reconciliation business.</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in our Acceptance segment increased $147 million, or 24%, in the third quarter of 2023 and increased $364 million, or 22%, in the first nine months of 2023 compared to 2022. Operating margin increased 350 basis points to 35.9% in the third quarter of 2023 and 300 basis points to 33.8% in the first nine months of 2023 compared to 2022. Operating income and operating margin growth in our Acceptance segment was primarily due to operating leverage.</w:t>
      </w:r>
    </w:p>
    <w:p>
      <w:pPr>
        <w:spacing w:after="0" w:line="133" w:lineRule="exact"/>
        <w:rPr>
          <w:sz w:val="20"/>
          <w:szCs w:val="20"/>
          <w:color w:val="auto"/>
        </w:rPr>
      </w:pPr>
    </w:p>
    <w:p>
      <w:pPr>
        <w:jc w:val="both"/>
        <w:ind w:right="300"/>
        <w:spacing w:after="0" w:line="257" w:lineRule="auto"/>
        <w:rPr>
          <w:sz w:val="20"/>
          <w:szCs w:val="20"/>
          <w:color w:val="auto"/>
        </w:rPr>
      </w:pPr>
      <w:r>
        <w:rPr>
          <w:rFonts w:ascii="Arial" w:cs="Arial" w:eastAsia="Arial" w:hAnsi="Arial"/>
          <w:sz w:val="18"/>
          <w:szCs w:val="18"/>
          <w:color w:val="auto"/>
        </w:rPr>
        <w:t>Operating income in our Fintech segment increased $30 million, or 11%, in the third quarter of 2023 and increased $39 million, or 5%, in the first nine months of 2023 compared to 2022. Operating margin increased 260 basis points to 36.7% in the third quarter of 2023 and increased 130 basis points to 36.1% in the first nine months of 2023 compared to 2022. Operating income and operating margin growth in our Fintech segment was primarily due to operating leverage and expense management initiatives. Fintech segment operating income and operating margin were also favorably impacted from an increase in license fee revenue in the third quarter of 2023.</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Operating income in our Payments segment increased $89 million, or 12%, in the third quarter of 2023 and increased $297 million, or 15%, in the first nine months of 2023 compared to 2022. Operating margin increased 290 basis points to 48.5% in the third quarter of 2023 and increased 260 basis points to</w:t>
      </w:r>
    </w:p>
    <w:p>
      <w:pPr>
        <w:ind w:right="20"/>
        <w:spacing w:after="0" w:line="253" w:lineRule="auto"/>
        <w:rPr>
          <w:sz w:val="20"/>
          <w:szCs w:val="20"/>
          <w:color w:val="auto"/>
        </w:rPr>
      </w:pPr>
      <w:r>
        <w:rPr>
          <w:rFonts w:ascii="Arial" w:cs="Arial" w:eastAsia="Arial" w:hAnsi="Arial"/>
          <w:sz w:val="18"/>
          <w:szCs w:val="18"/>
          <w:color w:val="auto"/>
        </w:rPr>
        <w:t>46.5% in the first nine months of 2023 compared to 2022. Payments segment operating income and operating margin growth in the third quarter and first nine months of 2023 was primarily due to scalable revenue growth from our debit and credit processing businesses. Operating income and operating margin growth in our Payments segment was also favorably impacted by an increase in termination fee revenue in the third quarter and first nine months of 2023.</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operating loss in Corporate and Other decreased $382 million in the third quarter of 2023 and decreased $307 million in the first nine months of 2023 compared to 2022. The operating loss in the third quarter and first nine months of 2023 included a $177 million pre-tax gain on the sale of our financial reconciliation business. The operating loss in the third quarter of 2022 included a $120 million pre-tax loss from the sale of our Korea operations, offset by a $147 million pre-tax gain from the sale of certain merchant contracts in conjunction with the mutual termination of one of our merchant alliance joint ventures in the first nine months of 2022. The operating loss in the third quarter and first nine months of 2023 was also favorably impacted by a reduction of $54 million and $143 million in amortization of acquisition related intangible assets, respectively. The operating loss was also favorably impacted by a reduction of $20 million and $82 million in severance costs in the third quarter and first nine months of 2023,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Interest expense, net increased $68 million, or 36%, in the third quarter of 2023 compared to 2022 and $158 million, or 30%, in the first nine months of 2023 compared to 2022 due to our public offering and issuance of $1.8 billion, 800 million Euros and $2.0 billion of higher fixed-rate senior notes in March 2023, May 2023 and August 2023, respectively, as well as increased variable rate borrowings associated with our settlement advance cash program in Latin America.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Other expense, net increased $22 million in the third quarter of 2023 compared to 2022 and decreased $2 million in the first nine months of 2023 compared to 2022. Other expense, net includes foreign currency transaction gains and losses, gains or losses from a change in fair value of investments in certain equity securities, and amounts related to debt guarantee arrangements of certain joint ventures. Net foreign currency transaction losses increased $23 million and $55 million in the third quarter and first nine months of 2023, respectively, primarily related to Argentina. Other expense, net in the first nine months of 2022 included net pre-tax expense of $57 million associated with joint venture debt guarantees.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Income tax provision as a percentage of income before income taxes and (loss) income from investments in unconsolidated affiliates was 19.8% and 22.5% for the three months ended September 30, 2023 and 2022, respectively, and was 19.5% and 19.7% for the nine months ended September 30, 2023 and 2022, respectively. For the three months ended September 30, 2023, the effective income tax rate included tax benefits from subsidiary restructurings and the purchase of transferable renewable energy tax credits.</w:t>
      </w:r>
    </w:p>
    <w:p>
      <w:pPr>
        <w:spacing w:after="0" w:line="13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effective income tax rate for both the nine months ended September 30, 2023 and 2022 included discrete tax benefits from subsidiary restructurings and equity compensation related tax benefits. The effective income tax rate for the nine months ended September 30, 2023 also included tax benefits from the purchase of transferable renewable energy tax credits.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Investments in Unconsolidated Affiliates</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share of net (loss) income from unconsolidated affiliates accounted for using the equity method is reported as (loss) income from investments in unconsolidated affiliates, and the related tax expense is reported within the income tax provision in the consolidated statements of income. (Loss) income from investments in unconsolidated affiliates, including acquired intangible asset amortization from valuations in purchase accounting, was $(2) million and $(12) million in the third quarter of 2023 and 2022, respectively, and $(11) million and $222 million in the first nine months of 2023 and 2022, respectively</w:t>
      </w:r>
      <w:r>
        <w:rPr>
          <w:rFonts w:ascii="Arial" w:cs="Arial" w:eastAsia="Arial" w:hAnsi="Arial"/>
          <w:sz w:val="16"/>
          <w:szCs w:val="16"/>
          <w:i w:val="1"/>
          <w:iCs w:val="1"/>
          <w:color w:val="auto"/>
        </w:rPr>
        <w:t>.</w:t>
      </w:r>
      <w:r>
        <w:rPr>
          <w:rFonts w:ascii="Arial" w:cs="Arial" w:eastAsia="Arial" w:hAnsi="Arial"/>
          <w:sz w:val="16"/>
          <w:szCs w:val="16"/>
          <w:color w:val="auto"/>
        </w:rPr>
        <w:t xml:space="preserve"> Loss from investments in unconsolidated affiliates in the third quarter of 2022 included our share of expenses associated with debt refinancing activities at our unconsolidated affiliates. Income from investments in unconsolidated affiliates in the first nine months of 2022 included pre-tax net gains totaling $209 million, primarily related to the acquisition-date fair value remeasurement of our previously held equity interest in Finxact of $110 million, as well as $80 million resulting from the dilution of our ownership interest in conjunction with the Sagent M&amp;C, LLC transaction with a third party.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$17 million and $12 million in the third quarter of 2023 and 2022, respectively, and $42 million and $36 million in the first nine months of 2023 and 2022,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income attributable to Fiserv, Inc. per share-diluted was $1.56 and $0.75 in the third quarter of 2023 and 2022, respectively, and was $3.54 and $2.68 in the first nine months of 2023 and 2022, respectively. Net income attributable to Fiserv, Inc. per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share-diluted in the third quarter and first nine months of 2023 includes a $177 million pre-tax gain related to the sale of our financial reconciliation business. Net income attributable to Fiserv, Inc. per share-diluted in the first nine months of 2022 included pre-tax net gains totaling $209 million related to certain equity investment transactions.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$1.3 billion, proceeds from the issuance of U.S. dollar and Euro commercial paper, and available capacity under our revolving credit facility of $1.7 billion (net of $4.3 billion of capacity designated for outstanding borrowings under our commercial paper programs, senior notes due in 2023 and 2024 and letters of credit) at September 30, 2023.</w:t>
      </w:r>
    </w:p>
    <w:p>
      <w:pPr>
        <w:spacing w:after="0" w:line="1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our net cash provided by operating activities, or operating cash flow, and capital expenditure amounts for the nine months ended September 30, 2023 and 2022, respectively: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Pr>
          <w:p>
            <w:pPr>
              <w:spacing w:after="0"/>
              <w:rPr>
                <w:sz w:val="21"/>
                <w:szCs w:val="21"/>
                <w:color w:val="auto"/>
              </w:rPr>
            </w:pPr>
          </w:p>
        </w:tc>
        <w:tc>
          <w:tcPr>
            <w:tcW w:w="26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390"/>
              <w:spacing w:after="0" w:line="182"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w:t>
            </w:r>
          </w:p>
        </w:tc>
        <w:tc>
          <w:tcPr>
            <w:tcW w:w="1620" w:type="dxa"/>
            <w:vAlign w:val="bottom"/>
            <w:tcBorders>
              <w:top w:val="single" w:sz="8" w:color="auto"/>
            </w:tcBorders>
            <w:gridSpan w:val="2"/>
          </w:tcPr>
          <w:p>
            <w:pPr>
              <w:jc w:val="right"/>
              <w:ind w:right="660"/>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sale of businesses and other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Loss (income)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changes in working capital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1"/>
              </w:rPr>
              <w:t>Capital expenditures, including capitalized software and other intangibles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4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1,148</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w:t>
            </w:r>
          </w:p>
        </w:tc>
        <w:tc>
          <w:tcPr>
            <w:tcW w:w="16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cash flow was $3.6 billion in the first nine months of 2023, an increase of 19% compared with $3.0 billion in the first nine months of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attributable to improved profitability and corresponding cash flows.</w:t>
      </w:r>
    </w:p>
    <w:p>
      <w:pPr>
        <w:spacing w:after="0" w:line="157"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maintain investments in various unconsolidated affiliates that are accounted for as equity method investments. Total distributions from unconsolidated affiliates, including those classified as cash flows from investing activities, were $152 million and $168 million in the first nine months of 2023 and 2022, respectively.</w:t>
      </w:r>
    </w:p>
    <w:p>
      <w:pPr>
        <w:spacing w:after="0" w:line="130"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acquisitions and to repay debt rather than to pay dividends. Our capital expenditures were approximately 7% and 9% of our total revenue for the first nine months of 2023 and 2022,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August 8, 2023, we repurchased 4.1 million shares of our common stock for $121.98 per share in a privately negotiated transaction with ValueAct Capital Master Fund, L.P. for an aggregate purchase price of $500 million. Including this transaction, we repurchased $3.7 billion and $1.8 billion of our common stock during the first nine months of 2023 and 2022, respectively. On February 22, 2023, our board of directors approved an additional repurchase authorization for up to 75.0 million shares of our common stock. As of September 30, 2023, we had approximately 60.5 million shares remaining under our current repurchase authorizations. Shares repurchased are generally held for issuance in connection with our equity plans.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 of Businesses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acquired Yacaré and Merchant One in December 2022, NexTable in September 2022 and City POS in June 2022. Additionally, we acquired the remaining majority controlling ownership interest in Finxact in April 2022. NexTable, City POS and the remaining ownership interest in Finxact were acquired during the first nine months of 2022 for an aggregate purchase price of $686 million, net of $27 million of acquired cash, and including earn-out provisions with an estimated fair value of $6 million. Merchant One and Yacaré were acquired in the fourth quarter of 2022 for an aggregate purchase price of $308 million, net of $1 million of acquired cash.</w:t>
      </w:r>
    </w:p>
    <w:p>
      <w:pPr>
        <w:spacing w:after="0" w:line="1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funded these acquisitions by utilizing a combination of available cash and proceeds from the issuance of commercial paper. The results of operations for these acquired businesses are included in our consolidated results from the respective dates of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 of Businesses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sold our financial reconciliation business in July 2023 for cash proceeds of $232 million, subject to final net working capital adjustments. Net proceeds from the sale were primarily used to pay down indebtedness and repurchase shares of our common stock.</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sold Fiserv Costa Rica, S.A and our SIS operations in October 2022 for net cash proceeds of $34 million and our Korea operations in September 2022 for net cash proceeds of $43 million, along with a minority noncontrolling equity interest in the buyer of the Korea operations. The net proceeds from these dispositions were primarily used to pay down indebtedness and repurchase shares of our common stock.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Transactions</w:t>
      </w:r>
    </w:p>
    <w:p>
      <w:pPr>
        <w:spacing w:after="0" w:line="17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September 2023, we acquired the remaining 49% ownership interest in European Merchant Services B.V., in which we previously held a majority controlling financial interest in this consolidated subsidiary, for $56 million. We funded this transaction by utilizing a combination of available cash and proceeds from the issuance of commercial paper.</w:t>
      </w:r>
    </w:p>
    <w:p>
      <w:pPr>
        <w:spacing w:after="0" w:line="130"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Effective March 2022, we mutually agreed to terminate a merchant alliance joint venture with a minority partner. In conjunction with such termination, the joint venture minority partner elected to exercise its option to purchase certain additional merchant contracts of the joint venture for cash proceeds of $175 million. The net proceeds from this transaction were primarily used to pay down indebtedness and repurchase shares of our common stock.</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952"/>
        </w:trPr>
        <w:tc>
          <w:tcPr>
            <w:tcW w:w="1280" w:type="dxa"/>
            <w:vAlign w:val="bottom"/>
            <w:tcBorders>
              <w:top w:val="single" w:sz="8" w:color="0000FF"/>
            </w:tcBorders>
            <w:gridSpan w:val="3"/>
          </w:tcPr>
          <w:p>
            <w:pPr>
              <w:spacing w:after="0"/>
              <w:rPr>
                <w:sz w:val="20"/>
                <w:szCs w:val="20"/>
                <w:color w:val="auto"/>
              </w:rPr>
            </w:pPr>
            <w:r>
              <w:rPr>
                <w:rFonts w:ascii="Arial" w:cs="Arial" w:eastAsia="Arial" w:hAnsi="Arial"/>
                <w:sz w:val="18"/>
                <w:szCs w:val="18"/>
                <w:i w:val="1"/>
                <w:iCs w:val="1"/>
                <w:color w:val="auto"/>
              </w:rPr>
              <w:t>Indebtedness</w:t>
            </w:r>
          </w:p>
        </w:tc>
        <w:tc>
          <w:tcPr>
            <w:tcW w:w="5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24"/>
                <w:szCs w:val="24"/>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Foreign lines of credit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Total short-term and current maturities of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0.375% senior notes due July 2023 (Euro-denominated)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3.800% senior notes due October 2023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2.750% senior notes due July 2024</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3.850% senior notes due June 2025</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2.250% senior notes due July 2025 (British Pound-denominated)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3.200% senior notes due July 2026</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2.250% senior notes due June 2027</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1.125% senior notes due July 2027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5.450% senior notes due March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5.375% senior notes due August 2028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4.200% senior notes due October 2028</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3.500% senior notes due July 2029</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2.650% senior notes due June 2030</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1.625% senior notes due July 2030 (Euro-denominated)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4.500% senior notes due May 2031 (Euro-denominated)</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3.000% senior notes due July 2031 (British Pound-denominated)</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5.600% senior notes due March 2033</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5.625% senior notes due August 2033</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4.400% senior notes due July 2049</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U.S. dollar commercial paper notes</w:t>
            </w:r>
          </w:p>
        </w:tc>
        <w:tc>
          <w:tcPr>
            <w:tcW w:w="20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2,329</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Euro commercial paper notes</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Term loan facility</w:t>
            </w:r>
          </w:p>
        </w:tc>
        <w:tc>
          <w:tcPr>
            <w:tcW w:w="20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3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August 2023, we completed the public offering and issuance of $2.0 billion of senior notes, comprised of $700 million aggregate principal amount of 5.375% senior notes due in August 2028 and $1.3 billion aggregate principal amount of 5.625% senior notes due in August 2033. In May 2023, we completed the public offering and issuance of 800 million Euros aggregate principal amount of 4.500% senior notes due in May 2031. In March 2023, we completed the public offering and issuance of $1.8 billion of senior notes, comprised of $900 million aggregate principal amount of 5.450% senior notes due in March 2028 and $900 million aggregate principal amount of 5.600% senior notes due in March 2033. We used the net proceeds from these senior notes offerings for general corporate purposes, including the repayment of U.S. dollar commercial paper notes, share repurchases, the repayment of the 0.375% Euro-denominated senior notes in July 2023 and the repayment of the 3.800% senior notes in October 2023.</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2023, our debt consisted primarily of $20.9 billion of fixed-rate senior notes and $1.2 billion of outstanding borrowings under our Euro commercial paper program.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was paid monthly.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At September 30, 2023, the 3.800% senior notes due in October 2023 and 2.750% senior notes due in July 2024 were classified in the consolidated balance sheet as long-term, as we have the intent to refinance or have subsequently refinanced this debt on a long-term basis and the ability to do so under our revolving credit facility. Outstanding borrowings under the commercial paper programs are also classified in the consolidated balance sheet as long-term, as we have the intent to refinance this commercial paper on a long-term basis through the continued issuance of new commercial paper upon maturity, and also have the ability to refinance such commercial paper under our revolving credit facility.</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Variable Rate Debt</w:t>
            </w:r>
          </w:p>
        </w:tc>
        <w:tc>
          <w:tcPr>
            <w:tcW w:w="412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98"/>
        </w:trPr>
        <w:tc>
          <w:tcPr>
            <w:tcW w:w="5500" w:type="dxa"/>
            <w:vAlign w:val="bottom"/>
            <w:gridSpan w:val="5"/>
          </w:tcPr>
          <w:p>
            <w:pPr>
              <w:spacing w:after="0"/>
              <w:rPr>
                <w:sz w:val="20"/>
                <w:szCs w:val="20"/>
                <w:color w:val="auto"/>
              </w:rPr>
            </w:pPr>
            <w:r>
              <w:rPr>
                <w:rFonts w:ascii="Arial" w:cs="Arial" w:eastAsia="Arial" w:hAnsi="Arial"/>
                <w:sz w:val="18"/>
                <w:szCs w:val="18"/>
                <w:color w:val="auto"/>
                <w:w w:val="95"/>
              </w:rPr>
              <w:t>Our variable rate debt consisted of the following at September 30, 2023:</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480" w:type="dxa"/>
            <w:vAlign w:val="bottom"/>
            <w:gridSpan w:val="4"/>
          </w:tcPr>
          <w:p>
            <w:pPr>
              <w:spacing w:after="0"/>
              <w:rPr>
                <w:sz w:val="20"/>
                <w:szCs w:val="20"/>
                <w:color w:val="auto"/>
              </w:rPr>
            </w:pPr>
            <w:r>
              <w:rPr>
                <w:rFonts w:ascii="Arial" w:cs="Arial" w:eastAsia="Arial" w:hAnsi="Arial"/>
                <w:sz w:val="16"/>
                <w:szCs w:val="16"/>
                <w:b w:val="1"/>
                <w:bCs w:val="1"/>
                <w:color w:val="auto"/>
              </w:rPr>
              <w:t>(In millions)</w:t>
            </w:r>
          </w:p>
        </w:tc>
        <w:tc>
          <w:tcPr>
            <w:tcW w:w="170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9"/>
              </w:rPr>
              <w:t>Maturity</w:t>
            </w:r>
          </w:p>
        </w:tc>
        <w:tc>
          <w:tcPr>
            <w:tcW w:w="206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1"/>
              </w:rPr>
              <w:t>Interest Rate</w:t>
            </w:r>
          </w:p>
        </w:tc>
        <w:tc>
          <w:tcPr>
            <w:tcW w:w="19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w w:val="90"/>
              </w:rPr>
              <w:t>Outstanding Borrowings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lines of credit</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25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48.428%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Euro commercial paper notes</w:t>
            </w:r>
          </w:p>
        </w:tc>
        <w:tc>
          <w:tcPr>
            <w:tcW w:w="1700" w:type="dxa"/>
            <w:vAlign w:val="bottom"/>
            <w:tcBorders>
              <w:bottom w:val="single" w:sz="8" w:color="CCEEFF"/>
            </w:tcBorders>
            <w:gridSpan w:val="2"/>
          </w:tcPr>
          <w:p>
            <w:pPr>
              <w:jc w:val="center"/>
              <w:ind w:right="440"/>
              <w:spacing w:after="0"/>
              <w:rPr>
                <w:sz w:val="20"/>
                <w:szCs w:val="20"/>
                <w:color w:val="auto"/>
              </w:rPr>
            </w:pPr>
            <w:r>
              <w:rPr>
                <w:rFonts w:ascii="Arial" w:cs="Arial" w:eastAsia="Arial" w:hAnsi="Arial"/>
                <w:sz w:val="18"/>
                <w:szCs w:val="18"/>
                <w:color w:val="auto"/>
                <w:w w:val="92"/>
              </w:rPr>
              <w:t>various</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3.880%</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Total variable rate debt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14.041%</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certain short-term lines of credit and other borrowing arrangements with foreign banks and alliance partners primarily to fund settlement activity associated with operations in Latin America. We entered into an annually renewable term loan facility, which was fully funded in April 2023, to fund settlement advance cash payments in Brazil. This term loan has a notional value of 514 million Brazilian real ($102 million USD equivalent) at September 30, 2023 that matures in April 2024 and bears interest at a variable Certificado de Depósito Interbancário (CDI) Rate, plus a specified margin of 1.70% per annum.</w:t>
      </w:r>
    </w:p>
    <w:p>
      <w:pPr>
        <w:spacing w:after="0" w:line="13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provides a summary of the outstanding borrowings and weighted average interest rates of our foreign lines of credit and other borrowing arrangements by country at September 30,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2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Outstanding Borrowings</w:t>
            </w:r>
          </w:p>
        </w:tc>
        <w:tc>
          <w:tcPr>
            <w:tcW w:w="10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w w:val="92"/>
              </w:rPr>
              <w:t>Weighted-Average Interest</w:t>
            </w:r>
          </w:p>
        </w:tc>
      </w:tr>
      <w:tr>
        <w:trPr>
          <w:trHeight w:val="239"/>
        </w:trPr>
        <w:tc>
          <w:tcPr>
            <w:tcW w:w="68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Rate</w:t>
            </w:r>
          </w:p>
        </w:tc>
      </w:tr>
      <w:tr>
        <w:trPr>
          <w:trHeight w:val="227"/>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Argentina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99.417 %</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Brazil</w:t>
            </w:r>
          </w:p>
        </w:tc>
        <w:tc>
          <w:tcPr>
            <w:tcW w:w="3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14.978 %</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Uruguay</w:t>
            </w: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11.896 %</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48.428 %</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maintain U.S. dollar and Euro unsecured commercial paper programs with various maturities generally ranging from one day to four months.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Outstanding borrowings under our commercial paper programs bear interest based on the prevailing rates at the time of issuance.</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maintain a revolving credit facility with aggregate commitments available for $6.0 billion of total capacity. Borrowings under the credit facility bear interest at a variable rate based on a Secured Overnight Financing Rate (SOFR) or a base rate in the case of U.S. dollar borrowings, in each case plus a specified margin based on our long-term debt rating in effect from time to time. We are required to pay a facility fee based on the aggregate commitments in effect under the credit agreement from time to time.</w:t>
      </w:r>
    </w:p>
    <w:p>
      <w:pPr>
        <w:spacing w:after="0" w:line="13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June 2023, we repaid all remaining outstanding borrowings on our term loan facility utilizing proceeds from the issuance of U.S. dollar commercial paper notes and operating cash on hand, thereby terminating such facility. Borrowings under the term loan facility accrued interest at a variable rate based on one-month LIBOR or on a base rate, plus, in each case, a specified margin based on the Company’s long-term debt rating in effect from time to time.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 and Compliance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maturity date.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during the period of four fiscal quarters then ended, subject to certain exceptions.</w:t>
      </w:r>
    </w:p>
    <w:p>
      <w:pPr>
        <w:spacing w:after="0" w:line="1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During the first nine months of 2023,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Guarantees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noncontrolling ownership interests in Sagent M&amp;C, LLC and defi SOLUTIONS Group, LLC (collectively, the “Lending Joint Ventures”). The Lending Joint Ventures maintain, as amended in April 2022, variable-rate term loan facilities with aggregate outstanding borrowings of $437 million in senior unsecured debt at September 30, 2023 and variable-rate revolving credit facilities with an aggregate borrowing capacity of $83 million with a syndicate of banks, which mature in April 2027. There were $45 million of outstanding borrowings on the revolving credit facilities at September 30, 2023. We have guaranteed the debt of the Lending Joint Ventures and do not anticipate that the Lending Joint Ventures will fail to fulfill their debt obligations. We maintained a liability of $33 million at September 30, 2023 for the estimated fair value of our non-contingent obligations to stand ready to perform over the term of the guarantee arrangements. Such guarantees will be amortized in future periods over the contractual term of the debt. In addition, we maintained a contingent liability of $21 million at September 30, 2023,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Investments, exclusive of settlement assets, with original maturities of 90 days or less that are readily convertible to cash are considered to be cash equivalents as reflected within our consolidated balance sheets. The table below details our cash and cash equivalents held at September 30, 2023 and December 31, 2022:</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2023</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2022</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3"/>
        </w:trPr>
        <w:tc>
          <w:tcPr>
            <w:tcW w:w="240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200" w:type="dxa"/>
            <w:vAlign w:val="bottom"/>
          </w:tcPr>
          <w:p>
            <w:pPr>
              <w:spacing w:after="0"/>
              <w:rPr>
                <w:sz w:val="15"/>
                <w:szCs w:val="15"/>
                <w:color w:val="auto"/>
              </w:rPr>
            </w:pPr>
          </w:p>
        </w:tc>
        <w:tc>
          <w:tcPr>
            <w:tcW w:w="116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8"/>
              </w:rPr>
              <w:t>Domestic</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82" w:lineRule="exact"/>
              <w:rPr>
                <w:sz w:val="20"/>
                <w:szCs w:val="20"/>
                <w:color w:val="auto"/>
              </w:rPr>
            </w:pPr>
            <w:r>
              <w:rPr>
                <w:rFonts w:ascii="Arial" w:cs="Arial" w:eastAsia="Arial" w:hAnsi="Arial"/>
                <w:sz w:val="18"/>
                <w:szCs w:val="18"/>
                <w:b w:val="1"/>
                <w:bCs w:val="1"/>
                <w:color w:val="auto"/>
                <w:w w:val="94"/>
              </w:rPr>
              <w:t>International</w:t>
            </w:r>
          </w:p>
        </w:tc>
        <w:tc>
          <w:tcPr>
            <w:tcW w:w="300" w:type="dxa"/>
            <w:vAlign w:val="bottom"/>
          </w:tcPr>
          <w:p>
            <w:pPr>
              <w:spacing w:after="0"/>
              <w:rPr>
                <w:sz w:val="15"/>
                <w:szCs w:val="15"/>
                <w:color w:val="auto"/>
              </w:rPr>
            </w:pPr>
          </w:p>
        </w:tc>
        <w:tc>
          <w:tcPr>
            <w:tcW w:w="1080" w:type="dxa"/>
            <w:vAlign w:val="bottom"/>
          </w:tcPr>
          <w:p>
            <w:pPr>
              <w:jc w:val="right"/>
              <w:ind w:right="410"/>
              <w:spacing w:after="0" w:line="182"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w w:val="98"/>
              </w:rPr>
              <w:t>Domestic</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40"/>
              <w:spacing w:after="0" w:line="182" w:lineRule="exact"/>
              <w:rPr>
                <w:sz w:val="20"/>
                <w:szCs w:val="20"/>
                <w:color w:val="auto"/>
              </w:rPr>
            </w:pPr>
            <w:r>
              <w:rPr>
                <w:rFonts w:ascii="Arial" w:cs="Arial" w:eastAsia="Arial" w:hAnsi="Arial"/>
                <w:sz w:val="18"/>
                <w:szCs w:val="18"/>
                <w:b w:val="1"/>
                <w:bCs w:val="1"/>
                <w:color w:val="auto"/>
                <w:w w:val="94"/>
              </w:rPr>
              <w:t>International</w:t>
            </w:r>
          </w:p>
        </w:tc>
        <w:tc>
          <w:tcPr>
            <w:tcW w:w="300" w:type="dxa"/>
            <w:vAlign w:val="bottom"/>
          </w:tcPr>
          <w:p>
            <w:pPr>
              <w:spacing w:after="0"/>
              <w:rPr>
                <w:sz w:val="15"/>
                <w:szCs w:val="15"/>
                <w:color w:val="auto"/>
              </w:rPr>
            </w:pPr>
          </w:p>
        </w:tc>
        <w:tc>
          <w:tcPr>
            <w:tcW w:w="10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Total</w:t>
            </w:r>
          </w:p>
        </w:tc>
      </w:tr>
      <w:tr>
        <w:trPr>
          <w:trHeight w:val="20"/>
        </w:trPr>
        <w:tc>
          <w:tcPr>
            <w:tcW w:w="8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24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r>
      <w:tr>
        <w:trPr>
          <w:trHeight w:val="248"/>
        </w:trPr>
        <w:tc>
          <w:tcPr>
            <w:tcW w:w="24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420" w:hanging="328"/>
        <w:spacing w:after="0" w:line="280" w:lineRule="auto"/>
        <w:tabs>
          <w:tab w:leader="none" w:pos="64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Market risk refers to the risk that a change in the level of one or more market prices, interest rates, inflation,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exposure to foreign currency exchange risks generally arises from our non-U.S. operations to the extent they are conducted in local currency. The major currencies to which our operations are exposed are the Argentine Peso, Brazilian Real, British Pound, Canadian Dollar, Euro and Indian Rupee. Changes in the value of underlying monetary assets and liabilities of our non-U.S. dollar-denominated foreign investments and foreign currency transactions in highly inflationary economies, primarily Argentina, may result in foreign currency exchange losses. We also have exposure to risks related to currency devaluation in certain countries, which may negatively impact our international operating results if there is a prolonged devaluation of local currencies relative to the U.S. dollar or if the economic conditions in these countries decline.</w:t>
      </w:r>
    </w:p>
    <w:p>
      <w:pPr>
        <w:spacing w:after="0" w:line="1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Additional information about market risks to which we are exposed is included within Item 7A of our Annual Report on Form 10-K for the year ended December 31, 2022. There were no significant changes to our quantitative and qualitative analyses about market risk during the nine months ended September 30,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September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no change in internal control over financial reporting that occurred during the three months ended September 30, 2023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Exchange Act) of shares of our common stock during the three months ended September 30, 2023:</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7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6"/>
        </w:trPr>
        <w:tc>
          <w:tcPr>
            <w:tcW w:w="3540" w:type="dxa"/>
            <w:vAlign w:val="bottom"/>
            <w:vMerge w:val="continue"/>
          </w:tcPr>
          <w:p>
            <w:pPr>
              <w:spacing w:after="0"/>
              <w:rPr>
                <w:sz w:val="17"/>
                <w:szCs w:val="17"/>
                <w:color w:val="auto"/>
              </w:rPr>
            </w:pPr>
          </w:p>
        </w:tc>
        <w:tc>
          <w:tcPr>
            <w:tcW w:w="1700" w:type="dxa"/>
            <w:vAlign w:val="bottom"/>
          </w:tcPr>
          <w:p>
            <w:pPr>
              <w:jc w:val="right"/>
              <w:ind w:right="216"/>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or Programs </w:t>
            </w:r>
            <w:r>
              <w:rPr>
                <w:rFonts w:ascii="Arial" w:cs="Arial" w:eastAsia="Arial" w:hAnsi="Arial"/>
                <w:sz w:val="9"/>
                <w:szCs w:val="9"/>
                <w:b w:val="1"/>
                <w:bCs w:val="1"/>
                <w:color w:val="auto"/>
                <w:w w:val="93"/>
              </w:rPr>
              <w:t>(1)</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2,700,762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127.31</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2,700,762</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67,402,317</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August 1-31, 2023</w:t>
            </w:r>
          </w:p>
        </w:tc>
        <w:tc>
          <w:tcPr>
            <w:tcW w:w="1700" w:type="dxa"/>
            <w:vAlign w:val="bottom"/>
          </w:tcPr>
          <w:p>
            <w:pPr>
              <w:jc w:val="right"/>
              <w:spacing w:after="0"/>
              <w:rPr>
                <w:sz w:val="20"/>
                <w:szCs w:val="20"/>
                <w:color w:val="auto"/>
              </w:rPr>
            </w:pPr>
            <w:r>
              <w:rPr>
                <w:rFonts w:ascii="Arial" w:cs="Arial" w:eastAsia="Arial" w:hAnsi="Arial"/>
                <w:sz w:val="18"/>
                <w:szCs w:val="18"/>
                <w:color w:val="auto"/>
              </w:rPr>
              <w:t>5,525,343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5,525,343</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61,876,974</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1-30,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1,333,870</w:t>
            </w:r>
          </w:p>
        </w:tc>
        <w:tc>
          <w:tcPr>
            <w:tcW w:w="21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60,543,104</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9,559,975</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60" w:hanging="328"/>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On November 19, 2020 and February 22, 2023, our board of directors authorized the purchase of up to 60.0 million and 75.0 million shares of our common stock, respectively. These authorizations do not expire.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right="540" w:firstLine="8"/>
        <w:spacing w:after="0" w:line="308" w:lineRule="auto"/>
        <w:tabs>
          <w:tab w:leader="none" w:pos="2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set forth below, during the three months ended September 30, 2023, none of the Company’s directors or Section 16 officers adopted or terminated a Rule 10b5-1 Trading Plan or “non-Rule 10b5-1 trading arrangement,” as defined in Item 408(a) of Regulation S-K.</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On September 22, 2023, Robert W. Hau, Chief Financial Officer of the Company, adopted a trading arrangement for the sale of securities of the Company’s common stock (a “Rule 10b5-1 Trading Plan”) that is intended to satisfy the affirmative defense conditions of Exchange Act Rule 10b5-1(c). Mr. Hau’s Rule 10b5-1 Trading Plan provides for the exercise of up to 188,088 employee stock options and sale of the underlying shares of common stock pursuant to one or more limit orders until January 31, 2024.</w:t>
      </w:r>
    </w:p>
    <w:p>
      <w:pPr>
        <w:spacing w:after="0" w:line="21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On September 18, 2023, Suzan Kereere, Head of Global Business Solutions of the Company, adopted a Rule 10b5-1 Trading Plan that is intended to satisfy the affirmative defense conditions of Exchange Act Rule 10b5-1(c). Ms. Kereere’s Rule 10b5-1 Trading Plan provides for the sale of up to 6,534 shares of common stock pursuant to one or more limit orders until October 4, 2024.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80" w:type="dxa"/>
            <w:vAlign w:val="bottom"/>
            <w:gridSpan w:val="8"/>
          </w:tcPr>
          <w:p>
            <w:pPr>
              <w:ind w:left="1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3"/>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220" w:type="dxa"/>
            <w:vAlign w:val="bottom"/>
            <w:gridSpan w:val="10"/>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Number</w:t>
            </w:r>
          </w:p>
        </w:tc>
        <w:tc>
          <w:tcPr>
            <w:tcW w:w="922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Arial" w:cs="Arial" w:eastAsia="Arial" w:hAnsi="Arial"/>
                <w:sz w:val="18"/>
                <w:szCs w:val="18"/>
                <w:color w:val="auto"/>
              </w:rPr>
              <w:t>4.1</w:t>
            </w:r>
          </w:p>
        </w:tc>
        <w:tc>
          <w:tcPr>
            <w:tcW w:w="1240" w:type="dxa"/>
            <w:vAlign w:val="bottom"/>
          </w:tcPr>
          <w:p>
            <w:pPr>
              <w:spacing w:after="0"/>
              <w:rPr>
                <w:sz w:val="22"/>
                <w:szCs w:val="22"/>
                <w:color w:val="auto"/>
              </w:rPr>
            </w:pPr>
          </w:p>
        </w:tc>
        <w:tc>
          <w:tcPr>
            <w:tcW w:w="9000" w:type="dxa"/>
            <w:vAlign w:val="bottom"/>
            <w:tcBorders>
              <w:bottom w:val="single" w:sz="8" w:color="0000FF"/>
            </w:tcBorders>
            <w:gridSpan w:val="5"/>
          </w:tcPr>
          <w:p>
            <w:pPr>
              <w:spacing w:after="0"/>
              <w:rPr>
                <w:rFonts w:ascii="Arial" w:cs="Arial" w:eastAsia="Arial" w:hAnsi="Arial"/>
                <w:sz w:val="18"/>
                <w:szCs w:val="18"/>
                <w:color w:val="0000FF"/>
                <w:w w:val="90"/>
              </w:rPr>
            </w:pPr>
            <w:hyperlink r:id="rId100">
              <w:r>
                <w:rPr>
                  <w:rFonts w:ascii="Arial" w:cs="Arial" w:eastAsia="Arial" w:hAnsi="Arial"/>
                  <w:sz w:val="18"/>
                  <w:szCs w:val="18"/>
                  <w:color w:val="0000FF"/>
                  <w:w w:val="90"/>
                </w:rPr>
                <w:t>Thirtieth Supplemental Indenture, dated as of August 21, 2023, between Fiserv, Inc. and U.S. Bank Trust Company, National</w:t>
              </w:r>
            </w:hyperlink>
          </w:p>
        </w:tc>
        <w:tc>
          <w:tcPr>
            <w:tcW w:w="2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120" w:type="dxa"/>
            <w:vAlign w:val="bottom"/>
            <w:tcBorders>
              <w:bottom w:val="single" w:sz="8" w:color="0000FF"/>
            </w:tcBorders>
            <w:gridSpan w:val="8"/>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Association (incorporated by reference to Exhibit 4.1 to the Current Report on Form 8-K of Fiserv, Inc. filed August 21, 2023)</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580" w:type="dxa"/>
            <w:vAlign w:val="bottom"/>
          </w:tcPr>
          <w:p>
            <w:pPr>
              <w:ind w:left="120"/>
              <w:spacing w:after="0"/>
              <w:rPr>
                <w:sz w:val="20"/>
                <w:szCs w:val="20"/>
                <w:color w:val="auto"/>
              </w:rPr>
            </w:pPr>
            <w:r>
              <w:rPr>
                <w:rFonts w:ascii="Arial" w:cs="Arial" w:eastAsia="Arial" w:hAnsi="Arial"/>
                <w:sz w:val="18"/>
                <w:szCs w:val="18"/>
                <w:color w:val="auto"/>
              </w:rPr>
              <w:t>4.2</w:t>
            </w:r>
          </w:p>
        </w:tc>
        <w:tc>
          <w:tcPr>
            <w:tcW w:w="1240" w:type="dxa"/>
            <w:vAlign w:val="bottom"/>
          </w:tcPr>
          <w:p>
            <w:pPr>
              <w:spacing w:after="0"/>
              <w:rPr>
                <w:sz w:val="24"/>
                <w:szCs w:val="24"/>
                <w:color w:val="auto"/>
              </w:rPr>
            </w:pPr>
          </w:p>
        </w:tc>
        <w:tc>
          <w:tcPr>
            <w:tcW w:w="9220" w:type="dxa"/>
            <w:vAlign w:val="bottom"/>
            <w:gridSpan w:val="10"/>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Thirty-First Supplemental Indenture, dated as of August 21, 2023, between Fiserv, Inc. and U.S. Bank Trust Company, National</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0" w:type="dxa"/>
            <w:vAlign w:val="bottom"/>
            <w:tcBorders>
              <w:top w:val="single" w:sz="8" w:color="0000FF"/>
            </w:tcBorders>
            <w:gridSpan w:val="9"/>
          </w:tcPr>
          <w:p>
            <w:pPr>
              <w:spacing w:after="0" w:line="156" w:lineRule="exact"/>
              <w:rPr>
                <w:rFonts w:ascii="Arial" w:cs="Arial" w:eastAsia="Arial" w:hAnsi="Arial"/>
                <w:sz w:val="18"/>
                <w:szCs w:val="18"/>
                <w:color w:val="0000FF"/>
                <w:w w:val="92"/>
              </w:rPr>
            </w:pPr>
            <w:hyperlink r:id="rId101">
              <w:r>
                <w:rPr>
                  <w:rFonts w:ascii="Arial" w:cs="Arial" w:eastAsia="Arial" w:hAnsi="Arial"/>
                  <w:sz w:val="18"/>
                  <w:szCs w:val="18"/>
                  <w:color w:val="0000FF"/>
                  <w:w w:val="92"/>
                </w:rPr>
                <w:t>Association (incorporated by reference to Exhibit 4.2 to the Current Report on Form 8-K of Fiserv, Inc. filed August 21, 2023)</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580" w:type="dxa"/>
            <w:vAlign w:val="bottom"/>
          </w:tcPr>
          <w:p>
            <w:pPr>
              <w:ind w:left="120"/>
              <w:spacing w:after="0"/>
              <w:rPr>
                <w:sz w:val="20"/>
                <w:szCs w:val="20"/>
                <w:color w:val="auto"/>
              </w:rPr>
            </w:pPr>
            <w:r>
              <w:rPr>
                <w:rFonts w:ascii="Arial" w:cs="Arial" w:eastAsia="Arial" w:hAnsi="Arial"/>
                <w:sz w:val="18"/>
                <w:szCs w:val="18"/>
                <w:color w:val="auto"/>
              </w:rPr>
              <w:t>31.1</w:t>
            </w:r>
          </w:p>
        </w:tc>
        <w:tc>
          <w:tcPr>
            <w:tcW w:w="1240" w:type="dxa"/>
            <w:vAlign w:val="bottom"/>
          </w:tcPr>
          <w:p>
            <w:pPr>
              <w:spacing w:after="0"/>
              <w:rPr>
                <w:sz w:val="24"/>
                <w:szCs w:val="24"/>
                <w:color w:val="auto"/>
              </w:rPr>
            </w:pPr>
          </w:p>
        </w:tc>
        <w:tc>
          <w:tcPr>
            <w:tcW w:w="91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Certification of the Chief Executive Officer pursuant to Section 302 of the Sarbanes-Oxley Act of 2002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the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7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32.1</w:t>
            </w:r>
          </w:p>
        </w:tc>
        <w:tc>
          <w:tcPr>
            <w:tcW w:w="1240" w:type="dxa"/>
            <w:vAlign w:val="bottom"/>
          </w:tcPr>
          <w:p>
            <w:pPr>
              <w:spacing w:after="0"/>
              <w:rPr>
                <w:sz w:val="24"/>
                <w:szCs w:val="24"/>
                <w:color w:val="auto"/>
              </w:rPr>
            </w:pPr>
          </w:p>
        </w:tc>
        <w:tc>
          <w:tcPr>
            <w:tcW w:w="9220" w:type="dxa"/>
            <w:vAlign w:val="bottom"/>
            <w:gridSpan w:val="10"/>
          </w:tcPr>
          <w:p>
            <w:pPr>
              <w:spacing w:after="0"/>
              <w:rPr>
                <w:sz w:val="20"/>
                <w:szCs w:val="20"/>
                <w:color w:val="auto"/>
              </w:rPr>
            </w:pPr>
            <w:r>
              <w:rPr>
                <w:rFonts w:ascii="Arial" w:cs="Arial" w:eastAsia="Arial" w:hAnsi="Arial"/>
                <w:sz w:val="18"/>
                <w:szCs w:val="18"/>
                <w:color w:val="0000FF"/>
                <w:w w:val="93"/>
              </w:rPr>
              <w:t>Certification of the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2002</w:t>
            </w:r>
          </w:p>
        </w:tc>
        <w:tc>
          <w:tcPr>
            <w:tcW w:w="980" w:type="dxa"/>
            <w:vAlign w:val="bottom"/>
            <w:tcBorders>
              <w:top w:val="single" w:sz="8" w:color="0000FF"/>
            </w:tcBorders>
          </w:tcPr>
          <w:p>
            <w:pPr>
              <w:spacing w:after="0"/>
              <w:rPr>
                <w:sz w:val="13"/>
                <w:szCs w:val="13"/>
                <w:color w:val="auto"/>
              </w:rPr>
            </w:pPr>
          </w:p>
        </w:tc>
        <w:tc>
          <w:tcPr>
            <w:tcW w:w="60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220" w:type="dxa"/>
            <w:vAlign w:val="bottom"/>
            <w:gridSpan w:val="10"/>
          </w:tcPr>
          <w:p>
            <w:pPr>
              <w:spacing w:after="0"/>
              <w:rPr>
                <w:sz w:val="20"/>
                <w:szCs w:val="20"/>
                <w:color w:val="auto"/>
              </w:rPr>
            </w:pPr>
            <w:r>
              <w:rPr>
                <w:rFonts w:ascii="Arial" w:cs="Arial" w:eastAsia="Arial" w:hAnsi="Arial"/>
                <w:sz w:val="18"/>
                <w:szCs w:val="18"/>
                <w:color w:val="auto"/>
                <w:w w:val="91"/>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20" w:type="dxa"/>
            <w:vAlign w:val="bottom"/>
            <w:gridSpan w:val="10"/>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37"/>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22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22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22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22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22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Arial" w:cs="Arial" w:eastAsia="Arial" w:hAnsi="Arial"/>
                <w:sz w:val="18"/>
                <w:szCs w:val="18"/>
                <w:color w:val="auto"/>
              </w:rPr>
              <w:t>104</w:t>
            </w:r>
          </w:p>
        </w:tc>
        <w:tc>
          <w:tcPr>
            <w:tcW w:w="1240" w:type="dxa"/>
            <w:vAlign w:val="bottom"/>
          </w:tcPr>
          <w:p>
            <w:pPr>
              <w:spacing w:after="0"/>
              <w:rPr>
                <w:sz w:val="24"/>
                <w:szCs w:val="24"/>
                <w:color w:val="auto"/>
              </w:rPr>
            </w:pPr>
          </w:p>
        </w:tc>
        <w:tc>
          <w:tcPr>
            <w:tcW w:w="922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1"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Filed with this quarterly report on Form 10-Q are the following documents formatted in iXBRL (Inline Extensible Business Reporting Language):</w:t>
      </w:r>
    </w:p>
    <w:p>
      <w:pPr>
        <w:spacing w:after="0" w:line="34" w:lineRule="exact"/>
        <w:rPr>
          <w:rFonts w:ascii="Arial" w:cs="Arial" w:eastAsia="Arial" w:hAnsi="Arial"/>
          <w:sz w:val="17"/>
          <w:szCs w:val="17"/>
          <w:color w:val="auto"/>
        </w:rPr>
      </w:pPr>
    </w:p>
    <w:p>
      <w:pPr>
        <w:ind w:left="340" w:hanging="8"/>
        <w:spacing w:after="0" w:line="281" w:lineRule="auto"/>
        <w:tabs>
          <w:tab w:leader="none" w:pos="5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Consolidated Statements of Income for the three and nine months ended September 30, 2023 and 2022, (ii) the Consolidated Statements of Comprehensive Income (Loss) for the three and nine months ended September 30, 2023 and 2022, (iii) the Consolidated Balance Sheets at September 30, 2023 and December 31, 2022, (iv) the Consolidated Statements of Cash Flows for the nine months ended September 30, 2023 and 2022,</w:t>
      </w:r>
    </w:p>
    <w:p>
      <w:pPr>
        <w:spacing w:after="0" w:line="1" w:lineRule="exact"/>
        <w:rPr>
          <w:rFonts w:ascii="Arial" w:cs="Arial" w:eastAsia="Arial" w:hAnsi="Arial"/>
          <w:sz w:val="16"/>
          <w:szCs w:val="16"/>
          <w:color w:val="auto"/>
        </w:rPr>
      </w:pPr>
    </w:p>
    <w:p>
      <w:pPr>
        <w:ind w:left="580" w:hanging="248"/>
        <w:spacing w:after="0"/>
        <w:tabs>
          <w:tab w:leader="none" w:pos="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Notes to Consolidated Financial Statements, and (vi) the information included in Part II, Item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380" w:type="dxa"/>
            <w:vAlign w:val="bottom"/>
            <w:gridSpan w:val="2"/>
          </w:tcPr>
          <w:p>
            <w:pPr>
              <w:ind w:left="1840"/>
              <w:spacing w:after="0"/>
              <w:rPr>
                <w:sz w:val="20"/>
                <w:szCs w:val="20"/>
                <w:color w:val="auto"/>
              </w:rPr>
            </w:pPr>
            <w:r>
              <w:rPr>
                <w:rFonts w:ascii="Arial" w:cs="Arial" w:eastAsia="Arial" w:hAnsi="Arial"/>
                <w:sz w:val="18"/>
                <w:szCs w:val="18"/>
                <w:b w:val="1"/>
                <w:bCs w:val="1"/>
                <w:color w:val="auto"/>
              </w:rPr>
              <w:t>FISERV, INC.</w:t>
            </w:r>
          </w:p>
        </w:tc>
      </w:tr>
      <w:tr>
        <w:trPr>
          <w:trHeight w:val="50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180"/>
              <w:spacing w:after="0"/>
              <w:rPr>
                <w:sz w:val="20"/>
                <w:szCs w:val="20"/>
                <w:color w:val="auto"/>
              </w:rPr>
            </w:pPr>
            <w:r>
              <w:rPr>
                <w:rFonts w:ascii="Arial" w:cs="Arial" w:eastAsia="Arial" w:hAnsi="Arial"/>
                <w:sz w:val="18"/>
                <w:szCs w:val="18"/>
                <w:color w:val="auto"/>
              </w:rPr>
              <w:t>October 25, 2023</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180"/>
              <w:spacing w:after="0"/>
              <w:rPr>
                <w:sz w:val="20"/>
                <w:szCs w:val="20"/>
                <w:color w:val="auto"/>
              </w:rPr>
            </w:pPr>
            <w:r>
              <w:rPr>
                <w:rFonts w:ascii="Arial" w:cs="Arial" w:eastAsia="Arial" w:hAnsi="Arial"/>
                <w:sz w:val="18"/>
                <w:szCs w:val="18"/>
                <w:color w:val="auto"/>
              </w:rPr>
              <w:t>October 25, 2023</w:t>
            </w:r>
          </w:p>
        </w:tc>
        <w:tc>
          <w:tcPr>
            <w:tcW w:w="2600" w:type="dxa"/>
            <w:vAlign w:val="bottom"/>
          </w:tcPr>
          <w:p>
            <w:pPr>
              <w:ind w:left="18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F. Best</w:t>
            </w:r>
          </w:p>
        </w:tc>
      </w:tr>
      <w:tr>
        <w:trPr>
          <w:trHeight w:val="222"/>
        </w:trPr>
        <w:tc>
          <w:tcPr>
            <w:tcW w:w="56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30"/>
        </w:trPr>
        <w:tc>
          <w:tcPr>
            <w:tcW w:w="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220"/>
          </w:cols>
          <w:pgMar w:left="320" w:top="125" w:right="3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Date: October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40640</wp:posOffset>
            </wp:positionV>
            <wp:extent cx="23317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Date: October 25,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40640</wp:posOffset>
            </wp:positionV>
            <wp:extent cx="2331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W. Hau</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September 30, 2023 as filed with the Securities and Exchange Commission on the date hereof (the “Report”), Frank J. Bisignano, as Chairman,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106" w:lineRule="exact"/>
        <w:rPr>
          <w:sz w:val="20"/>
          <w:szCs w:val="20"/>
          <w:color w:val="auto"/>
        </w:rPr>
      </w:pPr>
    </w:p>
    <w:p>
      <w:pPr>
        <w:ind w:left="560" w:hanging="309"/>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60" w:hanging="309"/>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6" w:lineRule="exact"/>
        <w:rPr>
          <w:sz w:val="20"/>
          <w:szCs w:val="20"/>
          <w:color w:val="auto"/>
        </w:rPr>
      </w:pPr>
    </w:p>
    <w:tbl>
      <w:tblPr>
        <w:tblLayout w:type="fixed"/>
        <w:tblInd w:w="600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30"/>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October 25, 2023</w:t>
            </w:r>
          </w:p>
        </w:tc>
      </w:tr>
      <w:tr>
        <w:trPr>
          <w:trHeight w:val="851"/>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29"/>
        </w:trPr>
        <w:tc>
          <w:tcPr>
            <w:tcW w:w="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October 25, 2023</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
      <w:numFmt w:val="bullet"/>
      <w:start w:val="1"/>
    </w:lvl>
    <w:lvl w:ilvl="1">
      <w:lvlJc w:val="left"/>
      <w:lvlText w:val="(%2)"/>
      <w:numFmt w:val="lowerRoman"/>
      <w:start w:val="1"/>
    </w:lvl>
  </w:abstractNum>
  <w:abstractNum w:abstractNumId="16">
    <w:nsid w:val="3F2DBA31"/>
    <w:multiLevelType w:val="hybridMultilevel"/>
    <w:lvl w:ilvl="0">
      <w:lvlJc w:val="left"/>
      <w:lvlText w:val="*"/>
      <w:numFmt w:val="bullet"/>
      <w:start w:val="1"/>
    </w:lvl>
    <w:lvl w:ilvl="1">
      <w:lvlJc w:val="left"/>
      <w:lvlText w:val="(%2)"/>
      <w:numFmt w:val="lowerRoman"/>
      <w:start w:val="5"/>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0" Type="http://schemas.openxmlformats.org/officeDocument/2006/relationships/hyperlink" Target="https://www.sec.gov/Archives/edgar/data/798354/000119312523217069/d521991dex41.htm" TargetMode="External"/><Relationship Id="rId101" Type="http://schemas.openxmlformats.org/officeDocument/2006/relationships/hyperlink" Target="https://www.sec.gov/Archives/edgar/data/798354/000119312523217069/d52199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2023-10-25T06:45:19Z</dcterms:created>
  <dcterms:modified xsi:type="dcterms:W3CDTF">2023-10-25T06:45:19Z</dcterms:modified>
</cp:coreProperties>
</file>