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109855</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4" w:lineRule="exact"/>
        <w:rPr>
          <w:sz w:val="24"/>
          <w:szCs w:val="24"/>
          <w:color w:val="auto"/>
        </w:rPr>
      </w:pPr>
    </w:p>
    <w:p>
      <w:pPr>
        <w:ind w:left="660" w:right="200" w:hanging="634"/>
        <w:spacing w:after="0" w:line="217" w:lineRule="auto"/>
        <w:tabs>
          <w:tab w:leader="none" w:pos="66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180" w:hanging="634"/>
        <w:spacing w:after="0" w:line="217" w:lineRule="auto"/>
        <w:tabs>
          <w:tab w:leader="none" w:pos="66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128905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2"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1"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3960" w:type="dxa"/>
            <w:vAlign w:val="bottom"/>
          </w:tcPr>
          <w:p>
            <w:pPr>
              <w:jc w:val="center"/>
              <w:ind w:right="19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5" w:lineRule="exact"/>
              <w:rPr>
                <w:sz w:val="20"/>
                <w:szCs w:val="20"/>
                <w:color w:val="auto"/>
              </w:rPr>
            </w:pPr>
            <w:r>
              <w:rPr>
                <w:rFonts w:ascii="Arial" w:cs="Arial" w:eastAsia="Arial" w:hAnsi="Arial"/>
                <w:sz w:val="14"/>
                <w:szCs w:val="14"/>
                <w:b w:val="1"/>
                <w:bCs w:val="1"/>
                <w:color w:val="auto"/>
                <w:w w:val="97"/>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50" w:lineRule="exact"/>
        <w:rPr>
          <w:sz w:val="24"/>
          <w:szCs w:val="24"/>
          <w:color w:val="auto"/>
        </w:rPr>
      </w:pPr>
    </w:p>
    <w:p>
      <w:pPr>
        <w:ind w:right="120"/>
        <w:spacing w:after="0" w:line="24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592455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ind w:right="154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r>
        <w:rPr>
          <w:rFonts w:ascii="Arial" w:cs="Arial" w:eastAsia="Arial" w:hAnsi="Arial"/>
          <w:sz w:val="17"/>
          <w:szCs w:val="17"/>
          <w:color w:val="auto"/>
        </w:rPr>
        <w:t xml:space="preserve"> As of April 22, 2022, there were 646,394,065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317500</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Financial Statements (Unaudited)</w:t>
              </w:r>
            </w:hyperlink>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Income</w:t>
              </w:r>
            </w:hyperlink>
          </w:p>
        </w:tc>
        <w:tc>
          <w:tcPr>
            <w:tcW w:w="6460" w:type="dxa"/>
            <w:vAlign w:val="bottom"/>
            <w:gridSpan w:val="7"/>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w:t>
              </w:r>
            </w:hyperlink>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Balance Sheets</w:t>
              </w:r>
            </w:hyperlink>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w:t>
              </w:r>
            </w:hyperlink>
          </w:p>
        </w:tc>
        <w:tc>
          <w:tcPr>
            <w:tcW w:w="6160" w:type="dxa"/>
            <w:vAlign w:val="bottom"/>
            <w:gridSpan w:val="6"/>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880" w:type="dxa"/>
            <w:vAlign w:val="bottom"/>
            <w:gridSpan w:val="5"/>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720" w:type="dxa"/>
            <w:vAlign w:val="bottom"/>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7580" w:type="dxa"/>
            <w:vAlign w:val="bottom"/>
            <w:gridSpan w:val="11"/>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000" w:type="dxa"/>
            <w:vAlign w:val="bottom"/>
            <w:gridSpan w:val="3"/>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72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 Index</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Three Months Ended</w:t>
      </w:r>
    </w:p>
    <w:p>
      <w:pPr>
        <w:jc w:val="center"/>
        <w:ind w:left="78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7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3,364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3,054</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Product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06"/>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Cost of processing and services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product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assets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Income before income taxes and income from investments in unconsolidated affiliates</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investments in unconsolidated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 and redeemable noncontrolling interests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 per share – basic</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 attributable to Fiserv, Inc. per share – diluted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0.45</w:t>
            </w:r>
          </w:p>
        </w:tc>
      </w:tr>
      <w:tr>
        <w:trPr>
          <w:trHeight w:val="259"/>
        </w:trPr>
        <w:tc>
          <w:tcPr>
            <w:tcW w:w="78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Shares used in computing net income attributable to Fiserv, Inc. per share: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r>
      <w:tr>
        <w:trPr>
          <w:trHeight w:val="210"/>
        </w:trPr>
        <w:tc>
          <w:tcPr>
            <w:tcW w:w="7840" w:type="dxa"/>
            <w:vAlign w:val="bottom"/>
          </w:tcPr>
          <w:p>
            <w:pPr>
              <w:ind w:left="360"/>
              <w:spacing w:after="0"/>
              <w:rPr>
                <w:sz w:val="20"/>
                <w:szCs w:val="20"/>
                <w:color w:val="auto"/>
              </w:rPr>
            </w:pPr>
            <w:r>
              <w:rPr>
                <w:rFonts w:ascii="Arial" w:cs="Arial" w:eastAsia="Arial" w:hAnsi="Arial"/>
                <w:sz w:val="16"/>
                <w:szCs w:val="16"/>
                <w:color w:val="auto"/>
              </w:rPr>
              <w:t>Diluted</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679.9</w:t>
            </w:r>
          </w:p>
        </w:tc>
      </w:tr>
    </w:tbl>
    <w:p>
      <w:pPr>
        <w:spacing w:after="0" w:line="212" w:lineRule="exact"/>
        <w:rPr>
          <w:sz w:val="20"/>
          <w:szCs w:val="20"/>
          <w:color w:val="auto"/>
        </w:rPr>
      </w:pPr>
    </w:p>
    <w:p>
      <w:pPr>
        <w:ind w:left="660" w:right="40" w:hanging="328"/>
        <w:spacing w:after="0" w:line="223"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processing and other fees charged to related party investments accounted for under the equity method of $51 million and $58 million for the three months ended March 31, 2022 and 2021, respectively (see Note 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Three Months Ended</w:t>
      </w:r>
    </w:p>
    <w:p>
      <w:pPr>
        <w:jc w:val="center"/>
        <w:ind w:left="78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Fair market value adjustment on cash flow hedges, net of income tax benefit (provision) of $0 million</w:t>
            </w:r>
          </w:p>
        </w:tc>
        <w:tc>
          <w:tcPr>
            <w:tcW w:w="1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($0 million)</w:t>
            </w:r>
          </w:p>
        </w:tc>
        <w:tc>
          <w:tcPr>
            <w:tcW w:w="1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tcPr>
          <w:p>
            <w:pPr>
              <w:ind w:left="220"/>
              <w:spacing w:after="0" w:line="176" w:lineRule="exact"/>
              <w:rPr>
                <w:sz w:val="20"/>
                <w:szCs w:val="20"/>
                <w:color w:val="auto"/>
              </w:rPr>
            </w:pPr>
            <w:r>
              <w:rPr>
                <w:rFonts w:ascii="Arial" w:cs="Arial" w:eastAsia="Arial" w:hAnsi="Arial"/>
                <w:sz w:val="18"/>
                <w:szCs w:val="18"/>
                <w:color w:val="auto"/>
                <w:w w:val="90"/>
              </w:rPr>
              <w:t>Reclassification adjustment for net realized gains on cash flow hedges included in cost of processing and</w:t>
            </w:r>
          </w:p>
        </w:tc>
        <w:tc>
          <w:tcPr>
            <w:tcW w:w="1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840" w:type="dxa"/>
            <w:vAlign w:val="bottom"/>
          </w:tcPr>
          <w:p>
            <w:pPr>
              <w:ind w:left="480"/>
              <w:spacing w:after="0"/>
              <w:rPr>
                <w:sz w:val="20"/>
                <w:szCs w:val="20"/>
                <w:color w:val="auto"/>
              </w:rPr>
            </w:pPr>
            <w:r>
              <w:rPr>
                <w:rFonts w:ascii="Arial" w:cs="Arial" w:eastAsia="Arial" w:hAnsi="Arial"/>
                <w:sz w:val="18"/>
                <w:szCs w:val="18"/>
                <w:color w:val="auto"/>
              </w:rPr>
              <w:t>services, net of income tax provision of $0 million and $0 million</w:t>
            </w:r>
          </w:p>
        </w:tc>
        <w:tc>
          <w:tcPr>
            <w:tcW w:w="1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Reclassification adjustment for net realized losses on cash flow hedges included in net interest expense,</w:t>
            </w:r>
          </w:p>
        </w:tc>
        <w:tc>
          <w:tcPr>
            <w:tcW w:w="1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income tax benefit of $1 million and $1 million</w:t>
            </w:r>
          </w:p>
        </w:tc>
        <w:tc>
          <w:tcPr>
            <w:tcW w:w="1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40" w:type="dxa"/>
            <w:vAlign w:val="bottom"/>
          </w:tcPr>
          <w:p>
            <w:pPr>
              <w:ind w:left="220"/>
              <w:spacing w:after="0" w:line="176" w:lineRule="exact"/>
              <w:rPr>
                <w:sz w:val="20"/>
                <w:szCs w:val="20"/>
                <w:color w:val="auto"/>
              </w:rPr>
            </w:pPr>
            <w:r>
              <w:rPr>
                <w:rFonts w:ascii="Arial" w:cs="Arial" w:eastAsia="Arial" w:hAnsi="Arial"/>
                <w:sz w:val="18"/>
                <w:szCs w:val="18"/>
                <w:color w:val="auto"/>
                <w:w w:val="97"/>
              </w:rPr>
              <w:t>Unrealized (loss) gain on defined benefit pension plans, net of income tax benefit (provision) of $0</w:t>
            </w:r>
          </w:p>
        </w:tc>
        <w:tc>
          <w:tcPr>
            <w:tcW w:w="1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840" w:type="dxa"/>
            <w:vAlign w:val="bottom"/>
          </w:tcPr>
          <w:p>
            <w:pPr>
              <w:ind w:left="480"/>
              <w:spacing w:after="0"/>
              <w:rPr>
                <w:sz w:val="20"/>
                <w:szCs w:val="20"/>
                <w:color w:val="auto"/>
              </w:rPr>
            </w:pPr>
            <w:r>
              <w:rPr>
                <w:rFonts w:ascii="Arial" w:cs="Arial" w:eastAsia="Arial" w:hAnsi="Arial"/>
                <w:sz w:val="18"/>
                <w:szCs w:val="18"/>
                <w:color w:val="auto"/>
              </w:rPr>
              <w:t>million and ($0 million)</w:t>
            </w:r>
          </w:p>
        </w:tc>
        <w:tc>
          <w:tcPr>
            <w:tcW w:w="1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net of income tax (see Note 12)</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w w:val="99"/>
              </w:rPr>
              <w:t>Less: net income attributable to noncontrolling interests and redeemable noncontrolling interests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other comprehensive loss attributable to noncontrolling interests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Comprehensive income attributable to Fiserv, Inc.</w:t>
            </w:r>
          </w:p>
        </w:tc>
        <w:tc>
          <w:tcPr>
            <w:tcW w:w="114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199"/>
        </w:trPr>
        <w:tc>
          <w:tcPr>
            <w:tcW w:w="784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13,652</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18,870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9,991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36,433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2,561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75,470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3,550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13,652</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18,295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4,172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44,299</w:t>
            </w: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17)</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Common stock, $0.01 par value: 1,800 million shares authorized; 784 million shares issued</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14,846</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137 million and 134 million shares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(6,140)</w:t>
            </w: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30,952</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r>
      <w:tr>
        <w:trPr>
          <w:trHeight w:val="212"/>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31,672</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75,470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jc w:val="center"/>
        <w:ind w:right="-39"/>
        <w:spacing w:after="0" w:line="196" w:lineRule="auto"/>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23"/>
          <w:szCs w:val="23"/>
          <w:b w:val="1"/>
          <w:bCs w:val="1"/>
          <w:color w:val="auto"/>
          <w:vertAlign w:val="superscript"/>
        </w:rPr>
        <w:t>(1)</w:t>
      </w: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Three Months Ended</w:t>
      </w:r>
    </w:p>
    <w:p>
      <w:pPr>
        <w:jc w:val="center"/>
        <w:ind w:left="7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Non-cash impairment charges</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(repayments of)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activity,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balance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Cash and cash equivalents, ending balance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w:t>
            </w:r>
          </w:p>
        </w:tc>
      </w:tr>
      <w:tr>
        <w:trPr>
          <w:trHeight w:val="23"/>
        </w:trPr>
        <w:tc>
          <w:tcPr>
            <w:tcW w:w="7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660" w:hanging="328"/>
        <w:spacing w:after="0" w:line="312" w:lineRule="auto"/>
        <w:tabs>
          <w:tab w:leader="none" w:pos="622" w:val="left"/>
        </w:tabs>
        <w:numPr>
          <w:ilvl w:val="0"/>
          <w:numId w:val="4"/>
        </w:numPr>
        <w:rPr>
          <w:rFonts w:ascii="Arial" w:cs="Arial" w:eastAsia="Arial" w:hAnsi="Arial"/>
          <w:sz w:val="9"/>
          <w:szCs w:val="9"/>
          <w:color w:val="auto"/>
        </w:rPr>
      </w:pPr>
      <w:r>
        <w:rPr>
          <w:rFonts w:ascii="Arial" w:cs="Arial" w:eastAsia="Arial" w:hAnsi="Arial"/>
          <w:sz w:val="13"/>
          <w:szCs w:val="13"/>
          <w:color w:val="auto"/>
        </w:rPr>
        <w:t>The company revised, for comparable purposes with the current period’s presentation, the consolidated statement of cash flows presentation for the three months ended March 31, 2021 to include cash and cash equivalents within settlement assets as a component of total cash and cash equivalents. Additional information is included in Note 1.</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consolidated financial statements for the three months ended March 31, 2022 and 2021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maintains a majority controlling financial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 The Company continues to assess the impact of the COVID-19 pandemic on its consolidated financial statements and has determined that there have been no material changes to date as a result of the COVID-19 pandemic on the estimates and assumptions made by management. The Company will continue to monitor developments related to the COVID-19 pandemic; however, the extent to which the COVID-19 pandemic may impact the Company's future operational and financial performance remains uncertain and difficult to predict.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between cash and cash equivalents on the consolidated balance sheets and the consolidated statements of cash flows at: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17"/>
                <w:szCs w:val="17"/>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on the consolidated balance sheets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Cash and cash equivalents included in settlement assets</w:t>
            </w: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89"/>
              </w:rPr>
              <w:t>Total cash and cash equivalents on the consolidated statements of cash</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flows</w:t>
            </w:r>
          </w:p>
        </w:tc>
        <w:tc>
          <w:tcPr>
            <w:tcW w:w="2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revised the consolidated statement of cash flows for the three months ended March 31, 2021 to reflect settlement cash and cash equivalents within settlement assets as a component of total cash and cash equivalents on the consolidated statement of cash flows. The changes in settlement cash and cash equivalents for the three months ended March 31, 2022 and 2021 of ($400) million and ($82) million, respectively, have been included in settlement activity, net within cash flows from financing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$47 million and $55 million at March 31, 2022 and December 31,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Settlement assets and obligations result from timing differences between collection and fulfillment of payment transactions and collateral amounts held to manage merchant credit risk, primarily associated with the Company’s merchant acquiring services. Settlement assets represent cash received or amounts receivable from agents, payment networks, bank partners, merchants or directly from consumers. Settlement obligations represent amounts payable to merchants and payees. Certain merchant settlement asset receivables that relate to settlement obligations are held by partner banks to which the Company does not have legal ownership but has the right to use the assets to satisfy the related settlement obligations. The Company records settlement obligations for amounts payable to merchants and for outstanding payment instruments issued to payees that have not yet been presented for settlement.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Merchant Credit Losses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or funds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some level of losses due to merchant defaults.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aggregate merchant credit loss expense, recognized by the Company within cost of processing and services in the consolidated statements of income, was $8 million and $22 million for the three months ended March 31, 2022 and 2021, respectively. The amount of collateral available to the Company was $2.0 billion and $2.2 billion at March 31, 2022 and December 31, 2021,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relevant factors such as changes in economic conditions or increases in merchant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960"/>
        <w:spacing w:after="0" w:line="438" w:lineRule="auto"/>
        <w:rPr>
          <w:sz w:val="20"/>
          <w:szCs w:val="20"/>
          <w:color w:val="auto"/>
        </w:rPr>
      </w:pPr>
      <w:r>
        <w:rPr>
          <w:rFonts w:ascii="Arial" w:cs="Arial" w:eastAsia="Arial" w:hAnsi="Arial"/>
          <w:sz w:val="18"/>
          <w:szCs w:val="18"/>
          <w:color w:val="auto"/>
        </w:rPr>
        <w:t xml:space="preserve">fraud. The aggregate merchant credit loss allowance was $29 million and $42 million at March 31, 2022 and December 31, 2021, respectively. </w:t>
      </w:r>
      <w:r>
        <w:rPr>
          <w:rFonts w:ascii="Arial" w:cs="Arial" w:eastAsia="Arial" w:hAnsi="Arial"/>
          <w:sz w:val="18"/>
          <w:szCs w:val="18"/>
          <w:i w:val="1"/>
          <w:iCs w:val="1"/>
          <w:color w:val="auto"/>
        </w:rPr>
        <w:t>Goodwill</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2021 determined that its goodwill was not impaired as the estimated fair values exceeded the carrying values. However, it is reasonably possible that future developments related to the interest rate environment, the economic impact of the COVID-19 pandemic or changes in significant assumptions used in the quantitative test on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March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maintains investments, of which it does not have significant influence, in various equity securities without a readily determinable fair value. Such investments totaled $117 million and $113 million at March 31, 2022 and December 31, 2021,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income in the consolidated statements of income for the period. During the three months ended March 31, 2021, the Company remeasured its equity interest in Ondot Systems, Inc. (“Ondot”) to fair value upon acquiring a remaining ownership interest, resulting in the recognition of a pre-tax gain of $12 million (see Note 4). Other adjustments made to the values recorded for certain equity securities and gains and losses from sales of equity securities during the three months ended March 31, 2022 and 2021, were not 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97"/>
        </w:trPr>
        <w:tc>
          <w:tcPr>
            <w:tcW w:w="2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2021, the Financial Accounting Standards Board (“FASB”) issued Accounting Standards Update (“ASU”) No. 2021-10, </w:t>
      </w:r>
      <w:r>
        <w:rPr>
          <w:rFonts w:ascii="Arial" w:cs="Arial" w:eastAsia="Arial" w:hAnsi="Arial"/>
          <w:sz w:val="16"/>
          <w:szCs w:val="16"/>
          <w:i w:val="1"/>
          <w:iCs w:val="1"/>
          <w:color w:val="auto"/>
        </w:rPr>
        <w:t>Government Assistance (Topic</w:t>
      </w:r>
    </w:p>
    <w:p>
      <w:pPr>
        <w:spacing w:after="0" w:line="46" w:lineRule="exact"/>
        <w:rPr>
          <w:sz w:val="20"/>
          <w:szCs w:val="20"/>
          <w:color w:val="auto"/>
        </w:rPr>
      </w:pPr>
    </w:p>
    <w:p>
      <w:pPr>
        <w:ind w:right="20" w:firstLine="8"/>
        <w:spacing w:after="0" w:line="253" w:lineRule="auto"/>
        <w:tabs>
          <w:tab w:leader="none" w:pos="37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(“ASU 2021-10”), which requires that an entity provide certain disclosures in its annual financial statements about transactions with a government that are accounted for by applying a grant or contribution accounting model by analogy. ASU 2021-10 is effective for all business entities for annual periods beginning after December 15, 2021 and may be applied either prospectively or retrospectively to the transactions reflected in the financial statements at the date of initial application. The Company will adopt the additional disclosures prospectively to the transactions reflected in its consolidated financial statements for the year ending December 31, 2022.</w:t>
      </w:r>
    </w:p>
    <w:p>
      <w:pPr>
        <w:spacing w:after="0" w:line="1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(“ASU 2021-08”), which requires that an entity recognize and measure contract assets and contract liabilities acquired in a business combination in accordance with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Generally, this should result in recognition and measurement of contract assets and contract liabilities at carryover value consistent with how they were recognized and measured in the acquiree’s financial statements, providing consistent recognition and enhanced comparability with revenue contracts with customers not acquired in a business combination. Prior to adoption of ASU 2021-08, an acquirer generally recognized contract assets and contract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liabilities acquired in a business combination at fair value on the acquisition date. For public entities, ASU 2021-08 is effective for fiscal years beginning after December 15, 2022, including interim periods within those fiscal years. Early adoption is permitted, including adoption in an interim period. Entities are required to apply a prospective transition approach upon adoption, unless early adoption occurs in an interim period. The Company adopted ASU 2021-08 effective January 1, 2022, with prospective application to business combinations occurring after adoption.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2021, the FASB issued ASU No. 2021-05, </w:t>
      </w:r>
      <w:r>
        <w:rPr>
          <w:rFonts w:ascii="Arial" w:cs="Arial" w:eastAsia="Arial" w:hAnsi="Arial"/>
          <w:sz w:val="17"/>
          <w:szCs w:val="17"/>
          <w:i w:val="1"/>
          <w:iCs w:val="1"/>
          <w:color w:val="auto"/>
        </w:rPr>
        <w:t>Leases (Topic 842): Lessors - Certain Leases with Variable Lease Payments</w:t>
      </w:r>
      <w:r>
        <w:rPr>
          <w:rFonts w:ascii="Arial" w:cs="Arial" w:eastAsia="Arial" w:hAnsi="Arial"/>
          <w:sz w:val="17"/>
          <w:szCs w:val="17"/>
          <w:color w:val="auto"/>
        </w:rPr>
        <w:t xml:space="preserve"> (“ASU 2021-05”), which amends the lease classification requirements for lessors with certain leases containing variable payments. A lessor is to classify and account for a lease with variable lease payments that do not depend on an index or a rate as an operating lease if the lease would have been classified as a sales-type lease or a direct financing lease and the lessor would have otherwise recognized a day-one loss. For public entities, ASU 2021-05 is effective for fiscal years beginning after December 15, 2021, including interim periods within those fiscal years, with early adoption permitted. Entities that have adopted ASC Topic 842 prior to the issuance of ASU 2021-05 may apply this update either retrospectively to leases that commenced or were modified on or after the adoption of ASC Topic 842 or prospectively to leases that commence or are modified on or after the date the entity first applies ASU 2021-05. The Company adopted ASU 2021-05 effective January 1, 2022, with prospective application to leases commencing or modified thereafter, and the adoption did not have a material impact on its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14% and 13% of total revenue in the three months ended March 31,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(In millions)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810</w:t>
            </w:r>
          </w:p>
        </w:tc>
      </w:tr>
    </w:tbl>
    <w:p>
      <w:pPr>
        <w:spacing w:after="0" w:line="2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$203 million of revenue during the three months ended March 31, 2022 that was included in the contract liability balance at the beginning of the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were unsatisfied (or partially unsatisfied) at March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bl>
    <w:p>
      <w:pPr>
        <w:spacing w:after="0" w:line="2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 xml:space="preserve">Acquisitions were accounted for as business combinations using the acquisition method of accounting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Purchase price was allocated to the respective assets acquired and liabilities assumed based on the estimated fair values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BentoBox</w:t>
      </w:r>
    </w:p>
    <w:p>
      <w:pPr>
        <w:spacing w:after="0" w:line="17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On November 22, 2021, the Company acquired BentoBox CMS, Inc (“BentoBox”), a digital marketing and commerce platform that helps restaurants connect with their guests, for approximately $317 million, net of $24 million of acquired cash. BentoBox is included within the Acceptance segment, and further expands the Company’s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dining solutions and commerce and business management capabilities.</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three months ended March 31, 2022, the Company identified and recorded measurement period adjustments to the preliminary BentoBox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$65 million, with offsetting amounts to the change in goodwill attributable to a decrease in identifiable intangible assets, including acquired software and technology. Such measurement period adjustments did not have a material impact on the Company’s consolidated statements of income. The updated preliminary allocation of purchase price resulted in the recognition of identifiable intangible assets of approximately $52 million, goodwill of approximately $269 million and other net assets of approximately $20 million. The allocation of the purchase price is preliminary and subject to further adjustment, pending additional analysis and final completion of valuations. Goodwill, not expected to be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amounts allocated to identifiable intangible assets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Customer relationships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of operations for BentoBox are included in the consolidated results of the Company from the date of acquisition. Pro forma information for this acquisition is not provided because it did not have a material effect on the Company’s consolidated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Pineapple Payments</w:t>
      </w:r>
    </w:p>
    <w:p>
      <w:pPr>
        <w:spacing w:after="0" w:line="171"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Pineapple Payments is included within the Acceptance segment, and expands the reach of the Company’s payment solutions through its technology- and relationship-led distribution channels.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Arial" w:cs="Arial" w:eastAsia="Arial" w:hAnsi="Arial"/>
                <w:sz w:val="18"/>
                <w:szCs w:val="18"/>
                <w:color w:val="auto"/>
              </w:rPr>
              <w:t>The amounts allocated to identifiable intangible assets are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Ondot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22, 2021, the Company acquired a remaining ownership interest in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(expense) income in the consolidated statement of income during the three months ended March 31, 2021. Ondot is included within the Payments segment and further expands the Company’s digital capabilities, enhancing its suite of integrated payments, banking and merchant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price recorded for Ondot was finalized in the third quarter of 2021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Goodwill, not deductible for tax purposes, is primarily attributed to the anticipated value created by the combined scale of integrated digital solutions to consumers, merchants, acquirers, networks and card issuers. The amounts allocated to identifiable intangible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On November 15, 2021, the Company acquired a remaining ownership interest in NetPay Solutions Group (“NetPay”), a multi-channel payment service provider offering a range of capabilities around onboarding, customer lifecycle, risk management and settlement to businesses of all sizes. The Company previously held a 40% noncontrolling interest in NetPay, which was accounted for under the equity method and approximated acquisition-date fair value. NetPay is included within the Acceptance segment and further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$87 million, net of the fair value of the Company’s previously held non-controlling interest in NetPay of $14 million and including earn-out provisions estimated at a fair value of $4 million (see Note 7). The allocation of purchase price for these acquisitions resulted in the recognition of identifiable intangible assets totaling $47 million, goodwill of $61 million and net assumed liabilities of $7 million. The purchase price allocation for the Radius8 acquisition was finalized in the third quarter of 2021 and for SpendLabs in the fourth quarter of 2021. The purchase price allocations for the NetPay and AIP acquisitions were finalized in the first quarter of 2022. Measurement period adjustments did not have a material impact on the consolidated statements of income. Goodwill, of which $14 million is deductible for tax purposes, is primarily attributed to </w:t>
      </w:r>
      <w:r>
        <w:rPr>
          <w:rFonts w:ascii="Arial" w:cs="Arial" w:eastAsia="Arial" w:hAnsi="Arial"/>
          <w:sz w:val="16"/>
          <w:szCs w:val="16"/>
          <w:color w:val="242424"/>
        </w:rPr>
        <w:t>synergies, the anticipated value created by advancing digital capabilities to the Company’s clients, and selling the Company’s products and services to</w:t>
      </w:r>
      <w:r>
        <w:rPr>
          <w:rFonts w:ascii="Arial" w:cs="Arial" w:eastAsia="Arial" w:hAnsi="Arial"/>
          <w:sz w:val="16"/>
          <w:szCs w:val="16"/>
          <w:color w:val="auto"/>
        </w:rPr>
        <w:t xml:space="preserve"> </w:t>
      </w:r>
      <w:r>
        <w:rPr>
          <w:rFonts w:ascii="Arial" w:cs="Arial" w:eastAsia="Arial" w:hAnsi="Arial"/>
          <w:sz w:val="16"/>
          <w:szCs w:val="16"/>
          <w:color w:val="242424"/>
        </w:rPr>
        <w:t>the acquired businesses’ existing client base</w:t>
      </w:r>
      <w:r>
        <w:rPr>
          <w:rFonts w:ascii="Arial" w:cs="Arial" w:eastAsia="Arial" w:hAnsi="Arial"/>
          <w:sz w:val="16"/>
          <w:szCs w:val="16"/>
          <w:color w:val="00000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are as follows: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1, 2022, the Company acquired a remaining ownership interest in Finxact, Inc. (“Finxact”), a developer of cloud-native banking solutions powering digital transformation throughout the financial services sector, for approximately $650 million. This acquisition, to be included within the Fintech segment, is expected to advance the Company’s digital banking strategy, expanding its account processing, digital, and payments solutions, and position the Company as a partner for clients looking to scale, accelerate and expand the digital banking experiences they deliver to their customers. The Company expects to recognize a pre-tax gain of approximately $110 million on the remeasurement of its previously held equity interest to its acquisition-date fair value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2022</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p>
      <w:pPr>
        <w:spacing w:after="0" w:line="250"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Three Months Ended</w:t>
      </w:r>
    </w:p>
    <w:p>
      <w:pPr>
        <w:jc w:val="center"/>
        <w:ind w:left="716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1400" w:type="dxa"/>
            <w:vAlign w:val="bottom"/>
            <w:tcBorders>
              <w:top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from investments in unconsolidated affiliates and the related tax expense or benefit is reported within the income tax provision in the consolidated statements of income.</w:t>
      </w:r>
    </w:p>
    <w:p>
      <w:pPr>
        <w:spacing w:after="0" w:line="9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maintains noncontrolling ownership interests in defi SOLUTIONS Group, LLC and Sagent M&amp;C, LLC (collectively the “Lending Joint Ventures”), respectively, which are accounted for using the equity method of accounting. In March 2022, Sagent M&amp;C, LLC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income from investments in unconsolidated affiliates, with related tax expense of $19 million recorded through the income tax provision, in the consolidated statement of income during the three months ended March 31, 2022. The Company’s remaining noncontrolling ownership interest in Sagent will continue to be accounted for as an equity method investment.</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Lending Joint ventures maintain variable-rate term loan facilities with aggregate outstanding borrowings of $360 million in senior unsecured debt and variable-rate revolving credit facilities with an aggregate borrowing capacity of $45 million with a syndicate of banks, which mature in March 2023. Outstanding borrowings on the revolving credit facilities at March 31, 2022 were $22 million. The Company has guaranteed this debt of the Lending Joint Ventures and does not anticipate that the Lending Joint Ventures will fail to fulfill their debt obligations. In April 2022, the Lending Joint Ventures amended their respective term loans and revolving credit facilities. See Note 7 for additional information.</w:t>
      </w:r>
    </w:p>
    <w:p>
      <w:pPr>
        <w:spacing w:after="0" w:line="12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Company previously maintained a noncontrolling interest in Tegra118, LLC (“Tegra118”) which was accounted for using the equity method of accounting. In February 2021, Tegra118 completed a merger with a third party, resulting in a dilution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from investments in unconsolidated affiliates, with related tax expense of $6 million recorded through the income tax provision, in the consolidated statement of income during the three months ended March 31, 2021. The Company’s remaining 24% ownership interest in InvestCloud was accounted for as an equity method investment through June 2021, the date on which the Company subsequently sold its entire remaining ownership interest in InvestCloud. The Company continues to provide various technical and data center related services under the terms of a pre-existing transition services agreement with InvestCloud.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75"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 to market each period (see Note 12).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w w:val="97"/>
              </w:rPr>
              <w:t>Fair 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80" w:type="dxa"/>
            <w:vAlign w:val="bottom"/>
            <w:vMerge w:val="restart"/>
          </w:tcPr>
          <w:p>
            <w:pPr>
              <w:ind w:left="1680"/>
              <w:spacing w:after="0"/>
              <w:rPr>
                <w:sz w:val="20"/>
                <w:szCs w:val="20"/>
                <w:color w:val="auto"/>
              </w:rPr>
            </w:pPr>
            <w:r>
              <w:rPr>
                <w:rFonts w:ascii="Arial" w:cs="Arial" w:eastAsia="Arial" w:hAnsi="Arial"/>
                <w:sz w:val="18"/>
                <w:szCs w:val="18"/>
                <w:b w:val="1"/>
                <w:bCs w:val="1"/>
                <w:color w:val="auto"/>
              </w:rPr>
              <w:t>Classification</w:t>
            </w:r>
          </w:p>
        </w:tc>
        <w:tc>
          <w:tcPr>
            <w:tcW w:w="1540" w:type="dxa"/>
            <w:vAlign w:val="bottom"/>
          </w:tcPr>
          <w:p>
            <w:pPr>
              <w:jc w:val="center"/>
              <w:ind w:left="9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3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780" w:type="dxa"/>
            <w:vAlign w:val="bottom"/>
            <w:vMerge w:val="continue"/>
          </w:tcPr>
          <w:p>
            <w:pPr>
              <w:spacing w:after="0"/>
              <w:rPr>
                <w:sz w:val="16"/>
                <w:szCs w:val="16"/>
                <w:color w:val="auto"/>
              </w:rPr>
            </w:pPr>
          </w:p>
        </w:tc>
        <w:tc>
          <w:tcPr>
            <w:tcW w:w="1540" w:type="dxa"/>
            <w:vAlign w:val="bottom"/>
          </w:tcPr>
          <w:p>
            <w:pPr>
              <w:jc w:val="center"/>
              <w:ind w:left="90"/>
              <w:spacing w:after="0" w:line="189" w:lineRule="exact"/>
              <w:rPr>
                <w:sz w:val="20"/>
                <w:szCs w:val="20"/>
                <w:color w:val="auto"/>
              </w:rPr>
            </w:pPr>
            <w:r>
              <w:rPr>
                <w:rFonts w:ascii="Arial" w:cs="Arial" w:eastAsia="Arial" w:hAnsi="Arial"/>
                <w:sz w:val="18"/>
                <w:szCs w:val="18"/>
                <w:b w:val="1"/>
                <w:bCs w:val="1"/>
                <w:color w:val="auto"/>
                <w:w w:val="96"/>
              </w:rPr>
              <w:t>Hierarchy</w:t>
            </w:r>
          </w:p>
        </w:tc>
        <w:tc>
          <w:tcPr>
            <w:tcW w:w="132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3780" w:type="dxa"/>
            <w:vAlign w:val="bottom"/>
          </w:tcPr>
          <w:p>
            <w:pPr>
              <w:ind w:left="340"/>
              <w:spacing w:after="0"/>
              <w:rPr>
                <w:sz w:val="20"/>
                <w:szCs w:val="20"/>
                <w:color w:val="auto"/>
              </w:rPr>
            </w:pPr>
            <w:r>
              <w:rPr>
                <w:rFonts w:ascii="Arial" w:cs="Arial" w:eastAsia="Arial" w:hAnsi="Arial"/>
                <w:sz w:val="18"/>
                <w:szCs w:val="18"/>
                <w:color w:val="auto"/>
                <w:w w:val="99"/>
              </w:rPr>
              <w:t>Prepaid expenses and other current assets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2</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3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Contingent debt guarantee</w:t>
            </w:r>
          </w:p>
        </w:tc>
        <w:tc>
          <w:tcPr>
            <w:tcW w:w="3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debt associated with the receivables securitization agreement, term loan credit agreement,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$20.3 billion and $21.8 billion at March 31, 2022 and December 31, 2021, respectively, and the carrying value was $20.3 billion and $20.4 billion at March 31, 2022 and December 31, 2021, respectively.</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maintains a liability for its non-contingent obligations to perform over the term of its debt guarantee arrangements with the Lending Joint Ventures (see Note 6), which is reported within accounts payable and accrued expenses in the consolidated balance sheets at March 31, 2022 and December 31, 2021. The non-contingent component of the Company’s debt guarantee arrangements is recorded at amortized cost but measured at fair value for disclosure purposes. The carrying value of the Company’s non-contingent liability of $8 million and $10 million approximates the fair value at March 31, 2022 and December 31, 2021, respectively (Level 3 of the fair value hierarchy). Such guarantees will be amortized in future periods over the contractual term. In addition, the Company maintains a contingent liability ($3 million and $4 million at March 31, 2022 and December 31, 2021, respectively, as reported within accounts payable and accrued expenses in the consolidated balance sheets), representing the current expected credit losses to which the Company is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(Level 3 of the fair value hierarchy). The Company recognized $3 million during each of the three months ended March 31, 2022 and 2021, respectively, within other income in its consolidated statements of income related to its release from risk under the non-contingent guarantees as well as a change in the provision of estimated credit losses associated with the indebtedness of the joint ventures. In April 2022, the Lending Joint Ventures amended their respective term loans and revolving credit facilities, increasing aggregate borrowing capacity by $75 million and extending the maturity to April 2027. The Company has elected to guarantee this incremental indebtedness, for a defined fee, and does not anticipate that the Lending Joint Ventures will fail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fulfill their debt obligations. The Company has not made any payments under the guarantees, nor has it been called upon to do so.</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9. Debt</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Arial" w:cs="Arial" w:eastAsia="Arial" w:hAnsi="Arial"/>
                <w:sz w:val="18"/>
                <w:szCs w:val="18"/>
                <w:color w:val="auto"/>
              </w:rPr>
              <w:t>The Company’s debt consisted of the following:</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Foreign lines of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3.500% senior notes due October 2022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3.800% senior notes due October 2023</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2.750% senior notes due July 2024</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3.850% senior notes due June 2025</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3.200% senior notes due July 2026</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2.250% senior notes due June 2027</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4.200% senior notes due October 2028</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3.500% senior notes due July 2029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2.650% senior notes due June 2030</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4.400% senior notes due July 2049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U.S. commercial paper notes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Euro commercial paper notes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Receivable securitized loan</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Term loan facility</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The Company was in compliance with all financial debt covenants during the first three months of 2022. The Company maintains an amended and restated revolving credit facility, which matures in September 2023, with aggregate commitments available for $3.5 billion of total capacity. At March 31, 2022, the 3.50% senior notes due in October 2022 and the receivable securitized loan due in July 2022 were classified in the consolidated balance sheet as long-term, as the Company has the intent to refinance this debt on a long-term basis and the ability to do so under its revolving credit facility.</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$685 million and $916 million at March 31, 2022 and December 31, 2021, respectively, with weighted average interest rates of 0.749% and 0.295%, respectively. Outstanding borrowings under the Euro program were</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$1.2 billion and $905 million at March 31, 2022 and December 31, 2021, respectively, with weighted average interest rates of (0.302)% and (0.420)%,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Interests</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minority partners in two of the Company’s merchant alliance joint ventures maintain redeemable noncontrolling interests which are presented outside of equity and carried at their estimated redemption values. Each minority partner owns 1% of the equity in the respective joint venture; in addition, each minority partner is entitled to a contractually determined share of the respective entity’s income. The agreements contain redemption features whereby interests held by the minority partner are redeemable either (i) at the option of the holder or (ii) upon the occurrence of an event that is not solely within the Company’s control. The joint ventures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September 2021, the Company and a joint venture minority partner mutually agreed to terminate one of the Company’s merchant alliance joint ventures. In conjunction with this agreement, the joint venture minority partner elected to exercise its option to purchase certain additional merchant contracts of the joint venture. Upon termination of the joint venture effective March 2, 2022, the Company received proceeds of $175 million from the sale of certain merchant contracts of the joint venture, resulting in the recognition of a pre-tax gain of $147 million within gain on sale of assets, with related tax expense of $9 million recorded through the income tax provision, in the consolidated statement of income during the three months ended March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three months ended March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Derecognition of redeemable noncontrolling interest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changes in equity during the three months ended March 31,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March 31, 2022</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w w:val="97"/>
              </w:rPr>
              <w:t>(745)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669</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808"/>
              <w:spacing w:after="0"/>
              <w:rPr>
                <w:sz w:val="20"/>
                <w:szCs w:val="20"/>
                <w:color w:val="auto"/>
              </w:rPr>
            </w:pPr>
            <w:r>
              <w:rPr>
                <w:rFonts w:ascii="Arial" w:cs="Arial" w:eastAsia="Arial" w:hAnsi="Arial"/>
                <w:sz w:val="14"/>
                <w:szCs w:val="14"/>
                <w:color w:val="auto"/>
                <w:w w:val="94"/>
              </w:rPr>
              <w:t>105</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March 31, 2022</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7"/>
              </w:rPr>
              <w:t>(640)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660" w:right="4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March 31, 2022 is different than the amount presented in the consolidated statement of income due to the net income attributable to redeemable noncontrolling interests of $10 million not included in equity.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March 31, 2021</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right="40" w:hanging="328"/>
        <w:spacing w:after="0" w:line="223" w:lineRule="auto"/>
        <w:tabs>
          <w:tab w:leader="none" w:pos="648" w:val="left"/>
        </w:tabs>
        <w:numPr>
          <w:ilvl w:val="1"/>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March 31, 2021 is different than the amount presented in the consolidated statement of income due to the net income attributable to redeemable noncontrolling interests of $10 million not included in equity.</w:t>
      </w:r>
    </w:p>
    <w:p>
      <w:pPr>
        <w:spacing w:after="0" w:line="136" w:lineRule="exact"/>
        <w:rPr>
          <w:rFonts w:ascii="Arial" w:cs="Arial" w:eastAsia="Arial" w:hAnsi="Arial"/>
          <w:sz w:val="21"/>
          <w:szCs w:val="21"/>
          <w:color w:val="auto"/>
          <w:vertAlign w:val="superscript"/>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Three Months Ended March 31, 2022</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6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7"/>
              </w:rPr>
              <w:t>Foreign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Currency</w:t>
            </w: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7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2021</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38</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March 31,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-196215</wp:posOffset>
            </wp:positionV>
            <wp:extent cx="713232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entered into forward exchange contracts, which have been designated as cash flow hedges, to hedge foreign currency exposure to the Indian Rupee. The notional amount of these derivatives was $317 million and $341 million, and the fair value totaling $4 million and $6 million is reported primarily within prepaid expenses and other current assets in the consolidated balance sheets at March 31, 2022 and December 31, 2021, respectively. Based on the amounts recorded in accumulated other comprehensive loss at March 31, 2022, the Company estimates that it will recognize gains of approximately $3 million in cost of processing and services during the next twelve months as foreign exchange forward contracts settle.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June 2019, concurrent with the issuance of U.S dollar-denominated senior notes, the Treasury Locks were settled resulting in a loss, net of income taxes, recorded in accumulated other comprehensive loss that is being amortized to earnings over the terms of the originally forecasted interest payments. The unamortized balance recorded in accumulated other comprehensive loss related to the Treasury Locks was $142 million and $145 million at March 31, 2022 and December 31, 2021, respectively. Based on the amounts recorded in accumulated other comprehensive loss at March 31, 2022, the Company estimates that it will recognize approximately $18 million in interest expense, net during the next twelve months related to settled interest rate hedge contracts.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The Company has designated its Euro- and British Pound-denominated senior notes and Euro commercial paper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 The Company recorded foreign currency translation gains of $67 million, net of income tax provision of $22 million, during the three months ended March 31, 2022, and $32 million during the three months ended March 31, 2021, in other comprehensive income (loss) from the translation of foreign currency-denominated senior notes and commercial paper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recognized $61 million and $66 million of share-based compensation expense during the three months ended March 31, 2022 and 2021, respectively. The Company's share-based compensation awards are typically granted in the first quarter of the year, and may also occur throughout the year in conjunction with acquisitions of businesses. At March 31, 2022, the total remaining unrecognized compensation cost for unvested stock options, restricted stock units and awards and performance share units, net of estimated forfeitures, of $519 million is expected to be recognized over a weighted-average period of 2.3 years. During the three months ended March 31, 2022 and 2021, stock options to purchase 0.6 million and 1.6 million shares, respectively, were exercised.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Weighted-Average</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0"/>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March 31, 2022</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51.38</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80" w:type="dxa"/>
            <w:vAlign w:val="bottom"/>
          </w:tcPr>
          <w:p>
            <w:pPr>
              <w:spacing w:after="0"/>
              <w:rPr>
                <w:sz w:val="24"/>
                <w:szCs w:val="24"/>
                <w:color w:val="auto"/>
              </w:rPr>
            </w:pP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restricted stock award and performance share unit activity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6"/>
                <w:szCs w:val="16"/>
                <w:b w:val="1"/>
                <w:bCs w:val="1"/>
                <w:color w:val="auto"/>
              </w:rPr>
              <w:t>Restricted Stock Units and Awards</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6"/>
          </w:tcPr>
          <w:p>
            <w:pPr>
              <w:ind w:left="740"/>
              <w:spacing w:after="0"/>
              <w:rPr>
                <w:sz w:val="20"/>
                <w:szCs w:val="20"/>
                <w:color w:val="auto"/>
              </w:rPr>
            </w:pPr>
            <w:r>
              <w:rPr>
                <w:rFonts w:ascii="Arial" w:cs="Arial" w:eastAsia="Arial" w:hAnsi="Arial"/>
                <w:sz w:val="16"/>
                <w:szCs w:val="16"/>
                <w:b w:val="1"/>
                <w:bCs w:val="1"/>
                <w:color w:val="auto"/>
              </w:rPr>
              <w:t>Performance Share Units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2"/>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4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Units and awards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1,392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92.99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102.28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Units and awards - March 31, 2022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14. Income Taxes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68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gridSpan w:val="5"/>
          </w:tcPr>
          <w:p>
            <w:pPr>
              <w:spacing w:after="0"/>
              <w:rPr>
                <w:sz w:val="20"/>
                <w:szCs w:val="20"/>
                <w:color w:val="auto"/>
              </w:rPr>
            </w:pPr>
            <w:r>
              <w:rPr>
                <w:rFonts w:ascii="Arial" w:cs="Arial" w:eastAsia="Arial" w:hAnsi="Arial"/>
                <w:sz w:val="18"/>
                <w:szCs w:val="18"/>
                <w:color w:val="auto"/>
                <w:w w:val="95"/>
              </w:rPr>
              <w:t>The Company’s income tax provision and effective income tax rate were as follows: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6"/>
          </w:tcPr>
          <w:p>
            <w:pPr>
              <w:jc w:val="right"/>
              <w:ind w:right="121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gridSpan w:val="3"/>
          </w:tcPr>
          <w:p>
            <w:pPr>
              <w:jc w:val="right"/>
              <w:ind w:right="755"/>
              <w:spacing w:after="0" w:line="182" w:lineRule="exact"/>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772"/>
              <w:spacing w:after="0" w:line="182"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income tax provision as a percentage of income before income taxes and income from investments in unconsolidated affiliates was 14.5% and 5.6% for the three months ended March 31, 2022 and 2021, respectively. The effective income tax rates for both the three months ended March 31, 2022 and 2021 include discrete tax benefits from subsidiary restructurings and equity compensation related tax benefits.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potential liability for unrecognized tax benefits before interest and penalties was approximately $112 million at March 31, 2022. The Company believes it is reasonably possible that the liability for unrecognized tax benefits may decrease by up to $7 million over the next twelve months as a result of possible closure of tax audits, potential audit settlements, and the lapse of the statutes of limitation in various jurisdictions.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2022, the Company’s U.S. federal income tax return for 2021, and tax returns in certain states and foreign jurisdictions for 2013 through 2021, remain subject to examination by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8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19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Weighted-average common shares outstanding used for the calculation of net income attributable</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 Fiserv, Inc. per share - basic</w:t>
            </w:r>
          </w:p>
        </w:tc>
        <w:tc>
          <w:tcPr>
            <w:tcW w:w="1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Common stock equivalents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Weighted-average common shares outstanding used for the calculation of net income attributable</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16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to Fiserv, Inc. per share - diluted</w:t>
            </w:r>
          </w:p>
        </w:tc>
        <w:tc>
          <w:tcPr>
            <w:tcW w:w="1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and 2021, stock options for 2.0 million and 1.4 million shares, respectively, were excluded from the calculation of weighted-average outstanding shares - diluted because their impact was anti-dilutive.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Distribution of nonmonetary assets (see Note 10)</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The Company maintained accruals of $31 million and $32 million at March 31, 2022 and December 31, 2021,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$50 million. In the opinion of management, the liabilities, if any, which may ultimately result from such legal proceedings are not expected to have a material adverse effect on the Company’s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$947 million and $1.6 billion at March 31, 2022 and December 31, 2021,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significant portion of the Company’s business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uses the equity method of accounting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$47 million and $45 million for the three months ended March 31, 2022 and 2021,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$41 million and $36 million of amounts due from unconsolidated merchant alliances included within trade accounts receivable, net in the consolidated balance sheets at March 31, 2022 and December 31,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2021, totaled $5 million and $13 million during the three months ended March 31, 2022 and 2021, respectively, and were primarily recognized as processing and services revenue in the consolidated statements of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point-of-sale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the Company’s omnichannel commerce ecosystem; Clover</w:t>
      </w:r>
      <w:r>
        <w:rPr>
          <w:rFonts w:ascii="Arial" w:cs="Arial" w:eastAsia="Arial" w:hAnsi="Arial"/>
          <w:sz w:val="20"/>
          <w:szCs w:val="20"/>
          <w:color w:val="auto"/>
          <w:vertAlign w:val="superscript"/>
        </w:rPr>
        <w:t>®</w:t>
      </w:r>
      <w:r>
        <w:rPr>
          <w:rFonts w:ascii="Arial" w:cs="Arial" w:eastAsia="Arial" w:hAnsi="Arial"/>
          <w:sz w:val="16"/>
          <w:szCs w:val="16"/>
          <w:color w:val="auto"/>
        </w:rPr>
        <w:t>, the Company’s cloud-based point-of-sale and business management platform; and Clover Connect, the Company’s independent software vendor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(loss)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Three Months Ended March 31, 2022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1,410</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top w:val="single" w:sz="8" w:color="CCEEFF"/>
            </w:tcBorders>
            <w:vMerge w:val="continue"/>
          </w:tcPr>
          <w:p>
            <w:pPr>
              <w:spacing w:after="0"/>
              <w:rPr>
                <w:sz w:val="15"/>
                <w:szCs w:val="15"/>
                <w:color w:val="auto"/>
              </w:rPr>
            </w:pPr>
          </w:p>
        </w:tc>
        <w:tc>
          <w:tcPr>
            <w:tcW w:w="4200" w:type="dxa"/>
            <w:vAlign w:val="bottom"/>
            <w:tcBorders>
              <w:top w:val="single" w:sz="8" w:color="CCEEFF"/>
            </w:tcBorders>
            <w:gridSpan w:val="2"/>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387</w:t>
            </w: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578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(736)</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following, many of which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supply chain, operations and sales;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2021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1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ind w:left="660" w:right="64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months ended March 31, 2022 to the comparable period in 2021.</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at March 31, 2022.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 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cloud-based point-of-sale (“POS”) and business management platform.</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businesses in our Acceptance segment provide a wide range of commerce-enabling solutions to merchants of all sizes and types around the world. These solutions include POS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our omnichannel commerce ecosystem; Clover, our cloud-based POS and business management platform, which includes a marketplace for proprietary and third-party business applications; and Clover Connect, our independent software vendor (“ISV”) platform. We distribute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1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transition services revenue associated with various dispositions, and our Output Solutions postage reimbursements.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November 22, 2021, we acquired BentoBox CMS, Inc. (“BentoBox”), a digital marketing and commerce platform that helps restaurants connect with their guests. BentoBox is included within the Acceptance segment and further expands our Clover dining solutions and commerce and business management capabilities. On November 15, 2021, we acquired a remaining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ownership interest in NetPay Solutions Group (“NetPay”), a multi-channel payment service provider offering a range of capabilities around onboarding, customer lifecycle, risk management and settlement to businesses of all sizes. We previously held a noncontrolling equity interest in NetPay, which was accounted for under the equity method. NetPay is included within the Acceptance segment and further expands our merchant services business. On October 1, 2021, we acquired Integrity Payments, LLC (“AIP”), an independent sales organization (“ISO”) that promotes payment processing services for merchants and is included within the Acceptance segment. On June 14, 2021, we acquired Spend Labs Inc. (“SpendLabs”), a mobile-native, cloud-based software provider of commercial card payment solutions. SpendLabs is included within the Payments segment and further expands our digital capabilities across mobile and desktop devices for small and mid-sized businesses. On May 4, 2021, we acquired Pineapple Payments Holdings, LLC (“Pineapple Payments”), an ISO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We previously held a noncontrolling equity interest in Ondot, which was accounted for at cost. Ondot is included within the Payments segment and further expands our digital capabilities, enhancing our suite of integrated payments, banking and merchant solutions. We acquired these businesses for an aggregate purchase price of approximately $882 million, net of $43 million of acquired cash and the fair value of our previously held equity interests of $36 million, and including earn-out provisions estimated at an aggregate fair value of $34 million. The results of operations for these acquired businesses are included in our consolidated results from the respective dates of acquisition.</w:t>
      </w:r>
    </w:p>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April 1, 2022, we acquired a remaining ownership interest in Finxact, Inc. (“Finxact”), a developer of cloud-native banking solutions powering digital transformation throughout the financial services sector, for approximately $650 million. This acquisition, to be included within our Fintech segment, is expected to advance our digital banking strategy, expanding our account processing, digital, and payments solutions, and position us as a partner for clients looking to scale, accelerate and expand the digital banking experiences they deliver to their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ISVs, and we believe there are thousands of these potential distribution partnership opportunities available to us.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Institutions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service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 which enable financial institutions to offer their customers an industry-leading digital banking experience.</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trends described above, during the past 25 years, the number of financial institutions in the United States has declined at a relatively steady rate of approximately 3% per year,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Since early 2020, the world has been, and continues to be, impacted by the coronavirus (“COVID-19”) pandemic. The COVID-19 pandemic, and various measures imposed by the governments of many countries, states, cities and other geographic regions to prevent its spread, have negatively impacted, and may continue to negatively impact, global economic and market conditions, including levels of consumer and business spending. The environment surrounding COVID-19 and countermeasures taken to reduce its spread may impact our future performance and remains difficult to predict.</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Beginning in 2021, we began observing increasing shortages and delays in the global supply chain for components and inputs necessary to our businesses, such as semiconductors, paper and plastic, and may experience difficulty procuring those components and inputs in the future on a timely basis or at historical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2021,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2021.</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8"/>
              </w:rPr>
              <w:t>Three Months Ended March 31,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left="692"/>
              <w:spacing w:after="0" w:line="22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3"/>
            <w:vMerge w:val="restart"/>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114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1"/>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Income before income taxes and income from</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from investments in unconsolidated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24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9"/>
              </w:rPr>
              <w:t>Three Months Ended March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Acceptance</w:t>
            </w:r>
          </w:p>
        </w:tc>
        <w:tc>
          <w:tcPr>
            <w:tcW w:w="320" w:type="dxa"/>
            <w:vAlign w:val="bottom"/>
          </w:tcPr>
          <w:p>
            <w:pPr>
              <w:spacing w:after="0"/>
              <w:rPr>
                <w:sz w:val="13"/>
                <w:szCs w:val="13"/>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3"/>
                <w:szCs w:val="13"/>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3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2022</w:t>
            </w:r>
          </w:p>
        </w:tc>
        <w:tc>
          <w:tcPr>
            <w:tcW w:w="20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778</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1,462</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4,138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1,405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3,755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2022</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275</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618</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60" w:type="dxa"/>
            <w:vAlign w:val="bottom"/>
          </w:tcPr>
          <w:p>
            <w:pPr>
              <w:spacing w:after="0"/>
              <w:rPr>
                <w:sz w:val="15"/>
                <w:szCs w:val="15"/>
                <w:color w:val="auto"/>
              </w:rPr>
            </w:pPr>
          </w:p>
        </w:tc>
        <w:tc>
          <w:tcPr>
            <w:tcW w:w="1320" w:type="dxa"/>
            <w:vAlign w:val="bottom"/>
            <w:vMerge w:val="restart"/>
          </w:tcPr>
          <w:p>
            <w:pPr>
              <w:jc w:val="right"/>
              <w:ind w:right="331"/>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78 %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ind w:left="500"/>
              <w:spacing w:after="0"/>
              <w:rPr>
                <w:sz w:val="20"/>
                <w:szCs w:val="20"/>
                <w:color w:val="auto"/>
              </w:rPr>
            </w:pPr>
            <w:r>
              <w:rPr>
                <w:rFonts w:ascii="Arial" w:cs="Arial" w:eastAsia="Arial" w:hAnsi="Arial"/>
                <w:sz w:val="18"/>
                <w:szCs w:val="18"/>
                <w:color w:val="auto"/>
              </w:rPr>
              <w:t>percentage</w:t>
            </w:r>
          </w:p>
        </w:tc>
        <w:tc>
          <w:tcPr>
            <w:tcW w:w="2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2022</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28.4 %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40" w:type="dxa"/>
            <w:vAlign w:val="bottom"/>
            <w:gridSpan w:val="2"/>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70   bps</w:t>
            </w:r>
          </w:p>
        </w:tc>
        <w:tc>
          <w:tcPr>
            <w:tcW w:w="32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200</w:t>
            </w: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bps</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120</w:t>
            </w: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w w:val="82"/>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790</w:t>
            </w:r>
          </w:p>
        </w:tc>
        <w:tc>
          <w:tcPr>
            <w:tcW w:w="42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revenue increased $383 million, or 10%, in the first quarter of 2022 compared to 2021. The revenue increase was driven by higher processing volumes and product sales across all of our business segments.</w:t>
      </w:r>
    </w:p>
    <w:p>
      <w:pPr>
        <w:spacing w:after="0" w:line="1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Revenue in our Acceptance segment increased $256 million, or 18%, in the first quarter of 2022 compared to 2021. The revenue increase was driven by higher global merchant acquiring payment and transaction volumes including an increase in global accounts and locations, from small and mid-sized businesses to enterprise merchants and independent software vendors.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Revenue in our Fintech segment increased $42 million, or 6%, in the first quarter of 2022 compared to 2021. The revenue increase was driven primarily by higher processing revenue across our Fintech businesses, while net license and termination fee revenue contributed 1% to segment revenue growth in the first quarter of 2022 compared to 2021.</w:t>
      </w:r>
    </w:p>
    <w:p>
      <w:pPr>
        <w:spacing w:after="0" w:line="1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in our Payments segment increased $57 million, or 4%, in the first quarter of 2022 compared to 2021. Payments segment revenue growth was driven by revenue contributions of 2% from our debit processing business and 1% from our credit processing business, primarily attributable to increased transaction volumes and accounts. Increased volumes also drove favorable revenue growth across our remaining Payments segment businesses, partially offset by a decrease in our prepaid business in the first quarter of 2022 compared to 2021.</w:t>
      </w:r>
    </w:p>
    <w:p>
      <w:pPr>
        <w:spacing w:after="0" w:line="117" w:lineRule="exact"/>
        <w:rPr>
          <w:sz w:val="20"/>
          <w:szCs w:val="20"/>
          <w:color w:val="auto"/>
        </w:rPr>
      </w:pPr>
    </w:p>
    <w:p>
      <w:pPr>
        <w:ind w:right="80"/>
        <w:spacing w:after="0" w:line="438" w:lineRule="auto"/>
        <w:rPr>
          <w:sz w:val="20"/>
          <w:szCs w:val="20"/>
          <w:color w:val="auto"/>
        </w:rPr>
      </w:pPr>
      <w:r>
        <w:rPr>
          <w:rFonts w:ascii="Arial" w:cs="Arial" w:eastAsia="Arial" w:hAnsi="Arial"/>
          <w:sz w:val="18"/>
          <w:szCs w:val="18"/>
          <w:color w:val="auto"/>
        </w:rPr>
        <w:t xml:space="preserve">Revenue at Corporate and Other increased $28 million, or 13%, in the first quarter of 2022 compared to 2021, primarily due to increased postage revenue. </w:t>
      </w:r>
      <w:r>
        <w:rPr>
          <w:rFonts w:ascii="Arial" w:cs="Arial" w:eastAsia="Arial" w:hAnsi="Arial"/>
          <w:sz w:val="18"/>
          <w:szCs w:val="18"/>
          <w:i w:val="1"/>
          <w:iCs w:val="1"/>
          <w:color w:val="auto"/>
        </w:rPr>
        <w:t>Total Expenses</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expenses in the first quarter of 2022 were relatively consistent with the comparable period in 2021. Total expenses as a percentage of total revenue decreased 780 basis points to 79.6% in the first quarter of 2022 compared to 2021. Total expenses as a percentage of total revenue were favorably impacted in the first quarter of 2022 by operating leverage accompanying scalable revenue growth, a $103 million reduction in acquisition and integration related expenses and a $147 million pre-tax gain associated with the sale of certain merchant contracts of a joint venture.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 of processing and services as a percentage of processing and services revenue decreased to 42.7% in the first quarter of 2022 compared to 45.7% in the first quarter of 2021. Cost of processing and services as a percentage of processing and services revenue was favorably impacted in the first quarter of 2022 by a reduction in acquisition and integration related expenses of approximately 200 basis points, as well as strong operating leverage across our businesses.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Cost of product as a percentage of product revenue decreased to 69.3% in the first quarter of 2022 compared to 72.8% in the first quarter of 2021. The cost of product as a percentage of product revenue improved in the first quarter of 2022 as a result of revenue mix, including increased hardware revenue.</w:t>
      </w:r>
    </w:p>
    <w:p>
      <w:pPr>
        <w:spacing w:after="0" w:line="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Selling, general and administrative expenses as a percentage of total revenue decreased to 35.5% in the first quarter of 2022 compared to 36.6% in the first quarter of 2021. The decrease in selling, general and administrative expenses as a percentage of total revenue in the first quarter of 2022 was primarily due to a reduction in acquisition and integration related expenses.</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$147 million pre-tax gain on sale of assets in the first quarter of 2022 resulted from the sale of certain merchant contracts in conjunction with the mutual termination of one of our merchant alliance joint ventures.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operating income increased $371 million, or 78%, in the first quarter of 2022 compared to 2021. Total operating margin increased 790 basis points to 20.5% in the first quarter of 2022 compared to 2021. Total operating income and total operating margin benefited from revenue growth in the first quarter of 2022, along with a reduction in acquisition and integration related expenses. Total operating income and total operating margin were also favorably impacted by a $147 million pre-tax gain on the sale of certain merchant contracts of a joint venture in the first quarter of 2022.</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income in our Acceptance segment increased $83 million, or 21%, in the first quarter of 2022 compared to 2021. Operating margin increased 70 basis points to 28.4% in the first quarter of 2022 compared to 2021. Acceptance segment operating income and margin growth in the first quarter of 2022 was primarily due to scalable revenue growth.</w:t>
      </w:r>
    </w:p>
    <w:p>
      <w:pPr>
        <w:spacing w:after="0" w:line="13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Operating income in our Fintech segment increased $29 million, or 12%, in the first quarter of 2022 compared to 2021. Operating margin increased 200 basis points to 35.4% in the first quarter of 2022 compared to 2021. Operating income and margin improvement in the first quarter of 2022 was favorably impacted by expense management initiatives along with approximately 100 basis points from a net increase in license and termination fee revenue.</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in our Payments segment increased $40 million, or 7%, in the first quarter of 2022 compared to 2021. Operating margin increased 120 basis points to 42.3% in the first quarter of 2022 compared to 2021. Payments segment operating income and margin growth in the first quarter of 2022 was due to scalable revenue growth along with a reduction in lower margin revenue in our prepaid business.</w:t>
      </w:r>
    </w:p>
    <w:p>
      <w:pPr>
        <w:spacing w:after="0" w:line="130"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operating loss in Corporate and Other decreased $219 million in the first quarter of 2022 compared to 2021. Corporate and Other was favorably impacted by a reduction in acquisition and integration related expenses and a $147 million pre-tax gain associated with the sale of certain merchant contracts of a joint venture.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decreased $8 million, or 5%, in the first quarter of 2022 compared to 2021 primarily due to lower-rate commercial paper borrowings.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7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Other (expense) income decreased $25 million in the first quarter of 2022 compared to 2021. Other (expense) income includes net foreign currency transaction gains and losses, gains or losses from a change in fair value of investments in certain equity securities, and amounts related to debt guarantee arrangements of certain joint ventures. Net foreign currency transaction (losses) gains were ($9) million and $6 million in the first quarter of 2022 and 2021, respectively. Other (expense) income in the first quarter of 2021 also included $12 million related to a pre-tax gain on the remeasurement of a previously held investment in Ondot to fair value upon acquiring the remaining ownership interest in the entity.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Income tax provision as a percentage of income before income taxes and income from investments in unconsolidated affiliates was 14.5% and 5.6% in the first quarter of 2022 and 2021, respectively. The effective income tax rates for the three months ended March 31, 2022 and 2021 include discrete tax benefits from subsidiary restructurings and equity compensation related tax benefits.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share of net income from affiliates accounted for using the equity method of accounting is reported as income from investments in unconsolidated affiliates and the related tax expense is reported within the income tax provision in the consolidated statements of income. Income from investments in unconsolidated affiliates, including acquired intangible asset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amortization from valuations in purchase accounting, was $106 million and $16 million in the first quarter of 2022 and 2021, respectively</w:t>
      </w:r>
      <w:r>
        <w:rPr>
          <w:rFonts w:ascii="Arial" w:cs="Arial" w:eastAsia="Arial" w:hAnsi="Arial"/>
          <w:sz w:val="18"/>
          <w:szCs w:val="18"/>
          <w:i w:val="1"/>
          <w:iCs w:val="1"/>
          <w:color w:val="auto"/>
        </w:rPr>
        <w:t>.</w:t>
      </w:r>
      <w:r>
        <w:rPr>
          <w:rFonts w:ascii="Arial" w:cs="Arial" w:eastAsia="Arial" w:hAnsi="Arial"/>
          <w:sz w:val="18"/>
          <w:szCs w:val="18"/>
          <w:color w:val="auto"/>
        </w:rPr>
        <w:t xml:space="preserve"> Income from investments in unconsolidated affiliates in the first quarter of 2022 includes pre-tax gains totaling $91 million related to certain unconsolidated affiliate transactions. Income from investments in unconsolidated affiliates in the first quarter of 2021 included a $28 million pre-tax gain resulting from the dilution of our ownership interest in connection with the Tegra118 merger with a third party.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$13 million and $14 million in the first quarter of 2022 and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income attributable to Fiserv, Inc. per share-diluted was $1.02 and $0.45 in the first quarter of 2022 and 2021, respectively. Net income attributable to Fiserv, Inc. per share-diluted increased in the first quarter of 2022 primarily due to improved operating results, a gain on the sale of certain merchant contracts of a joint venture and gains on certain unconsolidated affiliate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term and the long term using cash flow generated by our operations, along with our cash and cash equivalents of $863 million, proceeds from the issuance of U.S. and Euro commercial paper, and available capacity under our revolving credit facility of $1.6 billion (net of $1.9 billion of capacity designated for outstanding borrowings under our commercial paper programs and letters of credit) at March 31, 2022.</w:t>
      </w:r>
    </w:p>
    <w:p>
      <w:pPr>
        <w:spacing w:after="0" w:line="10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summarizes our operating cash flow and capital expenditure amounts for the three months ended March 31, 2022 and 2021,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60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Non-cash impairment charges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net cash provided by operating activities, or operating cash flow, was $815 million in the first three months of 2022, a decrease of 14% compared with $952 million in the first three months of 2021. This decrease was primarily attributable to unfavorable fluctuations in net working capital, including timing of vendor payments, partially offset by improved operating results, exclusive of the gain on the sale of certain assets.</w:t>
      </w:r>
    </w:p>
    <w:p>
      <w:pPr>
        <w:spacing w:after="0" w:line="1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8% and 6% of our total revenue for the first three months of 2022 and 2021, respectively.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repurchased $500 million and $612 million of our common stock during the first three months of 2022 and 2021, respectively. As of March 31, 2022, we had approximately 37.2 million shares remaining under our current repurchase authorization. Shares repurchased are generally held for issuance in connection with our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April 1, 2022, we acquired a remaining ownership interest in Finxact for approximately $650 million. We funded this acquisition by utilizing a combination of available cash, commercial paper notes and existing availability under our revolving credit facility.</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2021 we acquired BentoBox, in October 2021 we acquired AIP, in June 2021 we acquired SpendLabs, in May 2021 we acquired Pineapple Payments, and in March 2021 we acquired Radius8. Additionally, in November 2021, we acquired a remaining ownership interest in NetPay, and in January 2021, we acquired a remaining ownership interest in Ondot, in which we previously held noncontrolling equity interests. We acquired these businesses for an aggregate purchase price of approximately $882 million, net of $43 million of acquired cash and the fair value of our previously held equity interests of $36 million, and including earn-out provisions estimated at an aggregate fair value of $34 million. We funded these acquisitions by utilizing a combination of available cash, commercial paper notes and existing availability under our revolving credit facility. The results of operations for these acquired businesses are included in our consolidated results from the respective dates of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March 2022, we mutually agreed to terminate a merchant alliance joint venture with a minority partner. Upon termination of the joint venture, we received proceeds of $175 million from the sale of certain merchant contracts.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We previously maintained a noncontrolling interest in Tegra118, LLC (“Tegra118”) which was accounted for using the equity method of accounting.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in June 2021, we sold our entire ownership interest in InvestCloud for $466 million. The net proceeds from the sale were primarily used to pay down outstanding borrowings on our term loan facility.</w:t>
      </w: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Arial" w:cs="Arial" w:eastAsia="Arial" w:hAnsi="Arial"/>
                <w:sz w:val="16"/>
                <w:szCs w:val="16"/>
                <w:b w:val="1"/>
                <w:bCs w:val="1"/>
                <w:color w:val="auto"/>
                <w:w w:val="92"/>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Foreign lines of credit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3.500% senior notes due October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3.800% senior notes due October 2023</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2.750% senior notes due July 2024</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3.850% senior notes due June 2025</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3.200% senior notes due July 2026</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2.250% senior notes due June 2027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4.200% senior notes due October 2028</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3.500% senior notes due July 2029</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2.650% senior notes due June 2030</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4.400% senior notes due July 2049</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U.S. commercial paper notes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Euro commercial paper notes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securitized loan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March 31, 2022, our debt consisted primarily of $17.6 billion of fixed-rate senior notes and $1.8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our 3.50% senior notes due in October 2022, the receivable securitized loan, which matures in July 2022, and U.S and Euro commercial paper programs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revolving credit facility and term loan facility contain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9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the first three months of 2022,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Variable Rate Debt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gridSpan w:val="3"/>
          </w:tcPr>
          <w:p>
            <w:pPr>
              <w:spacing w:after="0"/>
              <w:rPr>
                <w:sz w:val="20"/>
                <w:szCs w:val="20"/>
                <w:color w:val="auto"/>
              </w:rPr>
            </w:pPr>
            <w:r>
              <w:rPr>
                <w:rFonts w:ascii="Arial" w:cs="Arial" w:eastAsia="Arial" w:hAnsi="Arial"/>
                <w:sz w:val="18"/>
                <w:szCs w:val="18"/>
                <w:color w:val="auto"/>
                <w:w w:val="96"/>
              </w:rPr>
              <w:t>Our variable rate debt consisted of the following at March 31, 2022: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Outstanding Borrowings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40" w:type="dxa"/>
            <w:vAlign w:val="bottom"/>
            <w:gridSpan w:val="2"/>
            <w:vMerge w:val="continue"/>
          </w:tcPr>
          <w:p>
            <w:pPr>
              <w:spacing w:after="0"/>
              <w:rPr>
                <w:sz w:val="16"/>
                <w:szCs w:val="16"/>
                <w:color w:val="auto"/>
              </w:rPr>
            </w:pPr>
          </w:p>
        </w:tc>
        <w:tc>
          <w:tcPr>
            <w:tcW w:w="2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Interest Rate</w:t>
            </w: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24.16%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U.S. commercial paper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various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various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Receivable securitized loan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2024</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Total variable rate debt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maintain short-term lines of credit with foreign banks and alliance partners primarily to fund settlement activity. These arrangements are primarily associated with our international operations and are in various functional currencies, the most significant of which is the Argentine peso.</w:t>
      </w:r>
    </w:p>
    <w:p>
      <w:pPr>
        <w:spacing w:after="0" w:line="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maintain U.S. and Euro unsecured commercial paper programs with various maturities generally ranging from one day to four months. Outstanding borrowings under our commercial paper programs bear interest based on the prevailing rates at the time of issuance.</w:t>
      </w:r>
    </w:p>
    <w:p>
      <w:pPr>
        <w:spacing w:after="0" w:line="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an amended and restated revolving credit facility with aggregate commitments available for $3.5 billion of total capacity. U.S. dollar borrowings under the amended and restated revolving credit facility bear interest at a variable rate based on LIBOR, typically at the overnight or 1-month rates, or a base rate, plus, in each case, a specified margin based on our long-term debt rating in effect from time to time. Foreign currency borrowings under the amended and restated revolving credit facility bear interest at a variable rate based on a benchmark applicable to the relevant currency, plus, in each case, a specified margin based on our long-term debt rating in effect from time to time. There are no significant commitment fees and no compensating balance requirements on the revolving credit facility.</w:t>
      </w:r>
    </w:p>
    <w:p>
      <w:pPr>
        <w:spacing w:after="0" w:line="1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First Data Receivables, LLC (“FDR”), a consolidated wholly-owned subsidiary, is a party to certain receivables financing arrangements, including an agreement (“Receivables Financing Agreement”) with certain financial institutions and other persons from time to time party thereto as lenders and group agents. Pursuant to the Receivables Financing Agreement, certain of our wholly-owned subsidiaries have agreed to transfer and contribute receivables to FDR, and FDR may borrow funds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$1.0 billion in receivables as part of the securitization program, and utilized the receivables as collateral in borrowings of $483 million at March 31, 2022. Outstanding borrowings bear interest at a variable rate based on one-month LIBOR plus a specified margin. At March 31, 2022, the collateral capacity under the Receivables Financing Agreement was $770 million, and the maximum borrowing capacity was $500 million.</w:t>
      </w:r>
    </w:p>
    <w:p>
      <w:pPr>
        <w:spacing w:after="0" w:line="1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maintain a term loan credit agreement with a syndicate of financial institutions. Outstanding borrowings under the term loan bear interest at a variable rate based on one-month LIBOR or a base rate, plus, in each case, a specified margin based on our long-term debt rating in effect from time to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Investments, exclusive of settlement assets, with original maturities of three months or less that are readily convertible to cash are considered to be cash equivalents as reflected within our consolidated balance sheets. At March 31, 2022 and December 31, 2021, we held $863 million and $835 million in cash and cash equivalents,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8"/>
              </w:rPr>
              <w:t>December 31,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95"/>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80" w:type="dxa"/>
            <w:vAlign w:val="bottom"/>
          </w:tcPr>
          <w:p>
            <w:pPr>
              <w:spacing w:after="0"/>
              <w:rPr>
                <w:sz w:val="14"/>
                <w:szCs w:val="14"/>
                <w:color w:val="auto"/>
              </w:rPr>
            </w:pPr>
          </w:p>
        </w:tc>
        <w:tc>
          <w:tcPr>
            <w:tcW w:w="130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420" w:hanging="328"/>
        <w:spacing w:after="0" w:line="280" w:lineRule="auto"/>
        <w:tabs>
          <w:tab w:leader="none" w:pos="64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 However, as the impact of the pandemic on the economy and our operations further evolves, we will continue to assess our liquidity needs.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information about market risks to which we are exposed, including discussion of risks and potential risks of the COVID-19 pandemic on our business, is included within Item 7A of our Annual Report on Form 10-K for the year ended December 31, 2021. There were no significant changes to our quantitative and qualitative analyses about market risk during the three months ended March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three months ended March 31, 2022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March 31,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Number of</w:t>
            </w: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3"/>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Purchased</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9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or Programs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1-31,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42,343,900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February 1-28, 2022</w:t>
            </w:r>
          </w:p>
        </w:tc>
        <w:tc>
          <w:tcPr>
            <w:tcW w:w="1700" w:type="dxa"/>
            <w:vAlign w:val="bottom"/>
          </w:tcPr>
          <w:p>
            <w:pPr>
              <w:jc w:val="right"/>
              <w:spacing w:after="0"/>
              <w:rPr>
                <w:sz w:val="20"/>
                <w:szCs w:val="20"/>
                <w:color w:val="auto"/>
              </w:rPr>
            </w:pPr>
            <w:r>
              <w:rPr>
                <w:rFonts w:ascii="Arial" w:cs="Arial" w:eastAsia="Arial" w:hAnsi="Arial"/>
                <w:sz w:val="18"/>
                <w:szCs w:val="18"/>
                <w:color w:val="auto"/>
              </w:rPr>
              <w:t>738,000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738,000</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41,605,900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1-31,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4,400,800</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37,205,100</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5,138,800</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60" w:hanging="328"/>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On November 19, 2020, our board of directors authorized the purchase of up to 60.0 million shares of our common stock. This authorization does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980" w:type="dxa"/>
            <w:vAlign w:val="bottom"/>
            <w:gridSpan w:val="8"/>
          </w:tcPr>
          <w:p>
            <w:pPr>
              <w:ind w:left="1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32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3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3.1</w:t>
            </w:r>
          </w:p>
        </w:tc>
        <w:tc>
          <w:tcPr>
            <w:tcW w:w="1240" w:type="dxa"/>
            <w:vAlign w:val="bottom"/>
          </w:tcPr>
          <w:p>
            <w:pPr>
              <w:spacing w:after="0"/>
              <w:rPr>
                <w:sz w:val="22"/>
                <w:szCs w:val="22"/>
                <w:color w:val="auto"/>
              </w:rPr>
            </w:pPr>
          </w:p>
        </w:tc>
        <w:tc>
          <w:tcPr>
            <w:tcW w:w="9320" w:type="dxa"/>
            <w:vAlign w:val="bottom"/>
            <w:gridSpan w:val="10"/>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Amended and Restated By-laws, dated February 18, 2022 (incorporated by reference to Exhibit 3.1 to the Current Report on</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9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Form 8-K of Fiserv, Inc. filed February 23, 2022).</w:t>
              </w:r>
            </w:hyperlink>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ind w:left="120"/>
              <w:spacing w:after="0"/>
              <w:rPr>
                <w:sz w:val="20"/>
                <w:szCs w:val="20"/>
                <w:color w:val="auto"/>
              </w:rPr>
            </w:pPr>
            <w:r>
              <w:rPr>
                <w:rFonts w:ascii="Arial" w:cs="Arial" w:eastAsia="Arial" w:hAnsi="Arial"/>
                <w:sz w:val="18"/>
                <w:szCs w:val="18"/>
                <w:color w:val="auto"/>
              </w:rPr>
              <w:t>10.1</w:t>
            </w: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320" w:type="dxa"/>
            <w:vAlign w:val="bottom"/>
            <w:gridSpan w:val="10"/>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Letter Agreement, dated February 18, 2022, by and between the Company and ValueAct Capital Management, L.P. (incorporated</w:t>
              </w:r>
            </w:hyperlink>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3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by reference to Exhibit 10.1 to the Current Report on Form 8-K of Fiserv, Inc. filed February 23, 2022).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40" w:type="dxa"/>
            <w:vAlign w:val="bottom"/>
          </w:tcPr>
          <w:p>
            <w:pPr>
              <w:spacing w:after="0"/>
              <w:rPr>
                <w:sz w:val="24"/>
                <w:szCs w:val="24"/>
                <w:color w:val="auto"/>
              </w:rPr>
            </w:pPr>
          </w:p>
        </w:tc>
        <w:tc>
          <w:tcPr>
            <w:tcW w:w="7460" w:type="dxa"/>
            <w:vAlign w:val="bottom"/>
            <w:tcBorders>
              <w:top w:val="single" w:sz="8" w:color="0000FF"/>
            </w:tcBorders>
            <w:gridSpan w:val="6"/>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the Chief Executive Officer pursuant to Section 302 of the Sarbanes-Oxley Act of 2002</w:t>
              </w:r>
            </w:hyperlink>
          </w:p>
        </w:tc>
        <w:tc>
          <w:tcPr>
            <w:tcW w:w="1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40" w:type="dxa"/>
            <w:vAlign w:val="bottom"/>
          </w:tcPr>
          <w:p>
            <w:pPr>
              <w:spacing w:after="0"/>
              <w:rPr>
                <w:sz w:val="24"/>
                <w:szCs w:val="24"/>
                <w:color w:val="auto"/>
              </w:rPr>
            </w:pPr>
          </w:p>
        </w:tc>
        <w:tc>
          <w:tcPr>
            <w:tcW w:w="9320" w:type="dxa"/>
            <w:vAlign w:val="bottom"/>
            <w:gridSpan w:val="10"/>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of the Chief Executive Officer and Chief Financial Officer pursuant to Section 906 of the Sarbanes-Oxley Act of</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3">
              <w:r>
                <w:rPr>
                  <w:rFonts w:ascii="Arial" w:cs="Arial" w:eastAsia="Arial" w:hAnsi="Arial"/>
                  <w:sz w:val="18"/>
                  <w:szCs w:val="18"/>
                  <w:color w:val="0000FF"/>
                  <w:w w:val="84"/>
                </w:rPr>
                <w:t>2002</w:t>
              </w:r>
            </w:hyperlink>
          </w:p>
        </w:tc>
        <w:tc>
          <w:tcPr>
            <w:tcW w:w="9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38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32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2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3"/>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3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3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3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3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3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4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20" w:lineRule="exact"/>
        <w:rPr>
          <w:rFonts w:ascii="Arial" w:cs="Arial" w:eastAsia="Arial" w:hAnsi="Arial"/>
          <w:sz w:val="17"/>
          <w:szCs w:val="17"/>
          <w:color w:val="auto"/>
        </w:rPr>
      </w:pPr>
    </w:p>
    <w:p>
      <w:pPr>
        <w:ind w:left="340" w:right="180" w:hanging="8"/>
        <w:spacing w:after="0" w:line="281" w:lineRule="auto"/>
        <w:tabs>
          <w:tab w:leader="none" w:pos="55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Consolidated Statements of Income for the three months ended March 31, 2022 and 2021, (ii) the Consolidated Statements of Comprehensive Income for the three months ended March 31, 2022 and 2021, (iii) the Consolidated Balance Sheets at March 31, 2022 and December 31, 2021,</w:t>
      </w:r>
    </w:p>
    <w:p>
      <w:pPr>
        <w:spacing w:after="0" w:line="1" w:lineRule="exact"/>
        <w:rPr>
          <w:rFonts w:ascii="Arial" w:cs="Arial" w:eastAsia="Arial" w:hAnsi="Arial"/>
          <w:sz w:val="16"/>
          <w:szCs w:val="16"/>
          <w:color w:val="auto"/>
        </w:rPr>
      </w:pPr>
    </w:p>
    <w:p>
      <w:pPr>
        <w:ind w:left="340" w:right="600" w:hanging="8"/>
        <w:spacing w:after="0" w:line="260" w:lineRule="auto"/>
        <w:tabs>
          <w:tab w:leader="none" w:pos="6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Consolidated Statements of Cash Flows for the three months ended March 31, 2022 and 2021, and (v) Notes to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Arial" w:cs="Arial" w:eastAsia="Arial" w:hAnsi="Arial"/>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April 28, 2022</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7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April 28, 2022</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Date: April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40640</wp:posOffset>
            </wp:positionV>
            <wp:extent cx="23399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Date: April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40640</wp:posOffset>
            </wp:positionV>
            <wp:extent cx="23399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March 31, 2022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April 28, 2022</w:t>
            </w:r>
          </w:p>
        </w:tc>
      </w:tr>
      <w:tr>
        <w:trPr>
          <w:trHeight w:val="607"/>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April 28, 2022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83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lvl w:ilvl="1">
      <w:lvlJc w:val="left"/>
      <w:lvlText w:val="(%2)"/>
      <w:numFmt w:val="decimal"/>
      <w:start w:val="1"/>
    </w:lvl>
  </w:abstractNum>
  <w:abstractNum w:abstractNumId="7">
    <w:nsid w:val="3352255A"/>
    <w:multiLevelType w:val="hybridMultilevel"/>
    <w:lvl w:ilvl="0">
      <w:lvlJc w:val="left"/>
      <w:lvlText w:val="%1."/>
      <w:numFmt w:val="decimal"/>
      <w:start w:val="12"/>
    </w:lvl>
    <w:lvl w:ilvl="1">
      <w:lvlJc w:val="left"/>
      <w:lvlText w:val="%2"/>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lowerRoman"/>
      <w:start w:val="1"/>
    </w:lvl>
  </w:abstractNum>
  <w:abstractNum w:abstractNumId="14">
    <w:nsid w:val="4E6AFB66"/>
    <w:multiLevelType w:val="hybridMultilevel"/>
    <w:lvl w:ilvl="0">
      <w:lvlJc w:val="left"/>
      <w:lvlText w:val="*"/>
      <w:numFmt w:val="bullet"/>
      <w:start w:val="1"/>
    </w:lvl>
    <w:lvl w:ilvl="1">
      <w:lvlJc w:val="left"/>
      <w:lvlText w:val="(%2)"/>
      <w:numFmt w:val="lowerRoman"/>
      <w:start w:val="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5" Type="http://schemas.openxmlformats.org/officeDocument/2006/relationships/hyperlink" Target="https://www.sec.gov/Archives/edgar/data/798354/000119312522050253/d270501dex31.htm" TargetMode="External"/><Relationship Id="rId66" Type="http://schemas.openxmlformats.org/officeDocument/2006/relationships/hyperlink" Target="https://www.sec.gov/Archives/edgar/data/798354/000119312522050253/d2705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2022-04-28T08:20:17Z</dcterms:created>
  <dcterms:modified xsi:type="dcterms:W3CDTF">2022-04-28T08:20:17Z</dcterms:modified>
</cp:coreProperties>
</file>