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8" w:lineRule="exact"/>
        <w:rPr>
          <w:sz w:val="24"/>
          <w:szCs w:val="24"/>
          <w:color w:val="auto"/>
        </w:rPr>
      </w:pPr>
    </w:p>
    <w:p>
      <w:pPr>
        <w:jc w:val="center"/>
        <w:ind w:right="-259"/>
        <w:spacing w:after="0"/>
        <w:rPr>
          <w:sz w:val="20"/>
          <w:szCs w:val="20"/>
          <w:color w:val="auto"/>
        </w:rPr>
      </w:pPr>
      <w:r>
        <w:rPr>
          <w:rFonts w:ascii="Arial" w:cs="Arial" w:eastAsia="Arial" w:hAnsi="Arial"/>
          <w:sz w:val="32"/>
          <w:szCs w:val="32"/>
          <w:b w:val="1"/>
          <w:bCs w:val="1"/>
          <w:color w:val="auto"/>
        </w:rPr>
        <w:t>UNITED STATES</w:t>
      </w:r>
    </w:p>
    <w:p>
      <w:pPr>
        <w:spacing w:after="0" w:line="53" w:lineRule="exact"/>
        <w:rPr>
          <w:sz w:val="24"/>
          <w:szCs w:val="24"/>
          <w:color w:val="auto"/>
        </w:rPr>
      </w:pPr>
    </w:p>
    <w:p>
      <w:pPr>
        <w:jc w:val="center"/>
        <w:ind w:right="-259"/>
        <w:spacing w:after="0"/>
        <w:rPr>
          <w:sz w:val="20"/>
          <w:szCs w:val="20"/>
          <w:color w:val="auto"/>
        </w:rPr>
      </w:pPr>
      <w:r>
        <w:rPr>
          <w:rFonts w:ascii="Arial" w:cs="Arial" w:eastAsia="Arial" w:hAnsi="Arial"/>
          <w:sz w:val="32"/>
          <w:szCs w:val="32"/>
          <w:b w:val="1"/>
          <w:bCs w:val="1"/>
          <w:color w:val="auto"/>
        </w:rPr>
        <w:t>SECURITIES AND EXCHANGE COMMISSION</w:t>
      </w:r>
    </w:p>
    <w:p>
      <w:pPr>
        <w:spacing w:after="0" w:line="24" w:lineRule="exact"/>
        <w:rPr>
          <w:sz w:val="24"/>
          <w:szCs w:val="24"/>
          <w:color w:val="auto"/>
        </w:rPr>
      </w:pPr>
    </w:p>
    <w:p>
      <w:pPr>
        <w:jc w:val="center"/>
        <w:ind w:right="-2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1599565</wp:posOffset>
            </wp:positionH>
            <wp:positionV relativeFrom="paragraph">
              <wp:posOffset>44450</wp:posOffset>
            </wp:positionV>
            <wp:extent cx="395160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951605" cy="8255"/>
                    </a:xfrm>
                    <a:prstGeom prst="rect">
                      <a:avLst/>
                    </a:prstGeom>
                    <a:noFill/>
                  </pic:spPr>
                </pic:pic>
              </a:graphicData>
            </a:graphic>
          </wp:anchor>
        </w:drawing>
      </w:r>
    </w:p>
    <w:p>
      <w:pPr>
        <w:spacing w:after="0" w:line="251" w:lineRule="exact"/>
        <w:rPr>
          <w:sz w:val="24"/>
          <w:szCs w:val="24"/>
          <w:color w:val="auto"/>
        </w:rPr>
      </w:pPr>
    </w:p>
    <w:p>
      <w:pPr>
        <w:jc w:val="center"/>
        <w:ind w:right="-25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1599565</wp:posOffset>
            </wp:positionH>
            <wp:positionV relativeFrom="paragraph">
              <wp:posOffset>118110</wp:posOffset>
            </wp:positionV>
            <wp:extent cx="395160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951605" cy="8255"/>
                    </a:xfrm>
                    <a:prstGeom prst="rect">
                      <a:avLst/>
                    </a:prstGeom>
                    <a:noFill/>
                  </pic:spPr>
                </pic:pic>
              </a:graphicData>
            </a:graphic>
          </wp:anchor>
        </w:drawing>
      </w:r>
    </w:p>
    <w:p>
      <w:pPr>
        <w:spacing w:after="0" w:line="274" w:lineRule="exact"/>
        <w:rPr>
          <w:sz w:val="24"/>
          <w:szCs w:val="24"/>
          <w:color w:val="auto"/>
        </w:rPr>
      </w:pPr>
    </w:p>
    <w:p>
      <w:pPr>
        <w:ind w:left="680" w:right="200" w:hanging="654"/>
        <w:spacing w:after="0" w:line="217" w:lineRule="auto"/>
        <w:tabs>
          <w:tab w:leader="none" w:pos="680" w:val="left"/>
        </w:tabs>
        <w:numPr>
          <w:ilvl w:val="0"/>
          <w:numId w:val="1"/>
        </w:numPr>
        <w:rPr>
          <w:rFonts w:ascii="MS PGothic" w:cs="MS PGothic" w:eastAsia="MS PGothic" w:hAnsi="MS PGothic"/>
          <w:sz w:val="29"/>
          <w:szCs w:val="29"/>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47"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For the quarterly period ended June 30, 2023</w:t>
      </w:r>
    </w:p>
    <w:p>
      <w:pPr>
        <w:spacing w:after="0" w:line="117"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OR</w:t>
      </w:r>
    </w:p>
    <w:p>
      <w:pPr>
        <w:spacing w:after="0" w:line="135" w:lineRule="exact"/>
        <w:rPr>
          <w:sz w:val="24"/>
          <w:szCs w:val="24"/>
          <w:color w:val="auto"/>
        </w:rPr>
      </w:pPr>
    </w:p>
    <w:p>
      <w:pPr>
        <w:ind w:left="680" w:right="180" w:hanging="654"/>
        <w:spacing w:after="0" w:line="217" w:lineRule="auto"/>
        <w:tabs>
          <w:tab w:leader="none" w:pos="680" w:val="left"/>
        </w:tabs>
        <w:numPr>
          <w:ilvl w:val="0"/>
          <w:numId w:val="2"/>
        </w:numPr>
        <w:rPr>
          <w:rFonts w:ascii="MS PGothic" w:cs="MS PGothic" w:eastAsia="MS PGothic" w:hAnsi="MS PGothic"/>
          <w:sz w:val="29"/>
          <w:szCs w:val="29"/>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93" w:lineRule="exact"/>
        <w:rPr>
          <w:sz w:val="24"/>
          <w:szCs w:val="24"/>
          <w:color w:val="auto"/>
        </w:rPr>
      </w:pPr>
    </w:p>
    <w:p>
      <w:pPr>
        <w:ind w:left="3420"/>
        <w:spacing w:after="0"/>
        <w:tabs>
          <w:tab w:leader="none" w:pos="67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3675380</wp:posOffset>
            </wp:positionH>
            <wp:positionV relativeFrom="paragraph">
              <wp:posOffset>-7620</wp:posOffset>
            </wp:positionV>
            <wp:extent cx="12947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4765" cy="8255"/>
                    </a:xfrm>
                    <a:prstGeom prst="rect">
                      <a:avLst/>
                    </a:prstGeom>
                    <a:noFill/>
                  </pic:spPr>
                </pic:pic>
              </a:graphicData>
            </a:graphic>
          </wp:anchor>
        </w:drawing>
      </w:r>
    </w:p>
    <w:p>
      <w:pPr>
        <w:spacing w:after="0" w:line="97"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Commission File Number 1-38962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1599565</wp:posOffset>
            </wp:positionH>
            <wp:positionV relativeFrom="paragraph">
              <wp:posOffset>120015</wp:posOffset>
            </wp:positionV>
            <wp:extent cx="395160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951605" cy="8255"/>
                    </a:xfrm>
                    <a:prstGeom prst="rect">
                      <a:avLst/>
                    </a:prstGeom>
                    <a:noFill/>
                  </pic:spPr>
                </pic:pic>
              </a:graphicData>
            </a:graphic>
          </wp:anchor>
        </w:drawing>
      </w:r>
    </w:p>
    <w:p>
      <w:pPr>
        <w:spacing w:after="0" w:line="369" w:lineRule="exact"/>
        <w:rPr>
          <w:sz w:val="24"/>
          <w:szCs w:val="24"/>
          <w:color w:val="auto"/>
        </w:rPr>
      </w:pPr>
    </w:p>
    <w:p>
      <w:pPr>
        <w:jc w:val="center"/>
        <w:ind w:right="-259"/>
        <w:spacing w:after="0"/>
        <w:rPr>
          <w:sz w:val="20"/>
          <w:szCs w:val="20"/>
          <w:color w:val="auto"/>
        </w:rPr>
      </w:pPr>
      <w:r>
        <w:rPr>
          <w:rFonts w:ascii="Arial" w:cs="Arial" w:eastAsia="Arial" w:hAnsi="Arial"/>
          <w:sz w:val="43"/>
          <w:szCs w:val="43"/>
          <w:b w:val="1"/>
          <w:bCs w:val="1"/>
          <w:color w:val="auto"/>
        </w:rPr>
        <w:t>FISERV, INC.</w:t>
      </w:r>
    </w:p>
    <w:p>
      <w:pPr>
        <w:spacing w:after="0" w:line="50"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1599565</wp:posOffset>
            </wp:positionH>
            <wp:positionV relativeFrom="paragraph">
              <wp:posOffset>124460</wp:posOffset>
            </wp:positionV>
            <wp:extent cx="39516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951605" cy="8255"/>
                    </a:xfrm>
                    <a:prstGeom prst="rect">
                      <a:avLst/>
                    </a:prstGeom>
                    <a:noFill/>
                  </pic:spPr>
                </pic:pic>
              </a:graphicData>
            </a:graphic>
          </wp:anchor>
        </w:drawing>
      </w:r>
    </w:p>
    <w:p>
      <w:pPr>
        <w:spacing w:after="0" w:line="374" w:lineRule="exact"/>
        <w:rPr>
          <w:sz w:val="24"/>
          <w:szCs w:val="24"/>
          <w:color w:val="auto"/>
        </w:rPr>
      </w:pPr>
    </w:p>
    <w:tbl>
      <w:tblPr>
        <w:tblLayout w:type="fixed"/>
        <w:tblInd w:w="1720" w:type="dxa"/>
        <w:tblCellMar>
          <w:top w:w="0" w:type="dxa"/>
          <w:left w:w="0" w:type="dxa"/>
          <w:bottom w:w="0" w:type="dxa"/>
          <w:right w:w="0" w:type="dxa"/>
        </w:tblCellMar>
      </w:tblPr>
      <w:tr>
        <w:trPr>
          <w:trHeight w:val="225"/>
        </w:trPr>
        <w:tc>
          <w:tcPr>
            <w:tcW w:w="3960" w:type="dxa"/>
            <w:vAlign w:val="bottom"/>
          </w:tcPr>
          <w:p>
            <w:pPr>
              <w:jc w:val="center"/>
              <w:ind w:right="1942"/>
              <w:spacing w:after="0"/>
              <w:rPr>
                <w:sz w:val="20"/>
                <w:szCs w:val="20"/>
                <w:color w:val="auto"/>
              </w:rPr>
            </w:pPr>
            <w:r>
              <w:rPr>
                <w:rFonts w:ascii="Arial" w:cs="Arial" w:eastAsia="Arial" w:hAnsi="Arial"/>
                <w:sz w:val="18"/>
                <w:szCs w:val="18"/>
                <w:b w:val="1"/>
                <w:bCs w:val="1"/>
                <w:color w:val="auto"/>
                <w:w w:val="86"/>
              </w:rPr>
              <w:t>Wisconsin</w:t>
            </w:r>
          </w:p>
        </w:tc>
        <w:tc>
          <w:tcPr>
            <w:tcW w:w="3160" w:type="dxa"/>
            <w:vAlign w:val="bottom"/>
          </w:tcPr>
          <w:p>
            <w:pPr>
              <w:jc w:val="center"/>
              <w:ind w:left="1942"/>
              <w:spacing w:after="0"/>
              <w:rPr>
                <w:sz w:val="20"/>
                <w:szCs w:val="20"/>
                <w:color w:val="auto"/>
              </w:rPr>
            </w:pPr>
            <w:r>
              <w:rPr>
                <w:rFonts w:ascii="Arial" w:cs="Arial" w:eastAsia="Arial" w:hAnsi="Arial"/>
                <w:sz w:val="18"/>
                <w:szCs w:val="18"/>
                <w:b w:val="1"/>
                <w:bCs w:val="1"/>
                <w:color w:val="auto"/>
                <w:w w:val="89"/>
              </w:rPr>
              <w:t>39-1506125</w:t>
            </w:r>
          </w:p>
        </w:tc>
      </w:tr>
      <w:tr>
        <w:trPr>
          <w:trHeight w:val="148"/>
        </w:trPr>
        <w:tc>
          <w:tcPr>
            <w:tcW w:w="3960" w:type="dxa"/>
            <w:vAlign w:val="bottom"/>
          </w:tcPr>
          <w:p>
            <w:pPr>
              <w:jc w:val="center"/>
              <w:ind w:right="1942"/>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160" w:type="dxa"/>
            <w:vAlign w:val="bottom"/>
          </w:tcPr>
          <w:p>
            <w:pPr>
              <w:jc w:val="center"/>
              <w:ind w:left="1942"/>
              <w:spacing w:after="0" w:line="149" w:lineRule="exact"/>
              <w:rPr>
                <w:sz w:val="20"/>
                <w:szCs w:val="20"/>
                <w:color w:val="auto"/>
              </w:rPr>
            </w:pPr>
            <w:r>
              <w:rPr>
                <w:rFonts w:ascii="Arial" w:cs="Arial" w:eastAsia="Arial" w:hAnsi="Arial"/>
                <w:sz w:val="14"/>
                <w:szCs w:val="14"/>
                <w:b w:val="1"/>
                <w:bCs w:val="1"/>
                <w:color w:val="auto"/>
                <w:w w:val="95"/>
              </w:rPr>
              <w:t>(I. R. S. Employer</w:t>
            </w:r>
          </w:p>
        </w:tc>
      </w:tr>
      <w:tr>
        <w:trPr>
          <w:trHeight w:val="186"/>
        </w:trPr>
        <w:tc>
          <w:tcPr>
            <w:tcW w:w="3960" w:type="dxa"/>
            <w:vAlign w:val="bottom"/>
          </w:tcPr>
          <w:p>
            <w:pPr>
              <w:jc w:val="center"/>
              <w:ind w:right="1942"/>
              <w:spacing w:after="0"/>
              <w:rPr>
                <w:sz w:val="20"/>
                <w:szCs w:val="20"/>
                <w:color w:val="auto"/>
              </w:rPr>
            </w:pPr>
            <w:r>
              <w:rPr>
                <w:rFonts w:ascii="Arial" w:cs="Arial" w:eastAsia="Arial" w:hAnsi="Arial"/>
                <w:sz w:val="14"/>
                <w:szCs w:val="14"/>
                <w:b w:val="1"/>
                <w:bCs w:val="1"/>
                <w:color w:val="auto"/>
                <w:w w:val="95"/>
              </w:rPr>
              <w:t>Incorporation or Organization)</w:t>
            </w:r>
          </w:p>
        </w:tc>
        <w:tc>
          <w:tcPr>
            <w:tcW w:w="3160" w:type="dxa"/>
            <w:vAlign w:val="bottom"/>
          </w:tcPr>
          <w:p>
            <w:pPr>
              <w:jc w:val="center"/>
              <w:ind w:left="1942"/>
              <w:spacing w:after="0"/>
              <w:rPr>
                <w:sz w:val="20"/>
                <w:szCs w:val="20"/>
                <w:color w:val="auto"/>
              </w:rPr>
            </w:pPr>
            <w:r>
              <w:rPr>
                <w:rFonts w:ascii="Arial" w:cs="Arial" w:eastAsia="Arial" w:hAnsi="Arial"/>
                <w:sz w:val="14"/>
                <w:szCs w:val="14"/>
                <w:b w:val="1"/>
                <w:bCs w:val="1"/>
                <w:color w:val="auto"/>
                <w:w w:val="96"/>
              </w:rPr>
              <w:t>Identification No.)</w:t>
            </w:r>
          </w:p>
        </w:tc>
      </w:tr>
    </w:tbl>
    <w:p>
      <w:pPr>
        <w:spacing w:after="0" w:line="264"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255 Fiserv Drive, Brookfield, WI 53045</w:t>
      </w:r>
    </w:p>
    <w:p>
      <w:pPr>
        <w:spacing w:after="0" w:line="21" w:lineRule="exact"/>
        <w:rPr>
          <w:sz w:val="24"/>
          <w:szCs w:val="24"/>
          <w:color w:val="auto"/>
        </w:rPr>
      </w:pPr>
    </w:p>
    <w:p>
      <w:pPr>
        <w:jc w:val="center"/>
        <w:ind w:right="-259"/>
        <w:spacing w:after="0"/>
        <w:rPr>
          <w:sz w:val="20"/>
          <w:szCs w:val="20"/>
          <w:color w:val="auto"/>
        </w:rPr>
      </w:pPr>
      <w:r>
        <w:rPr>
          <w:rFonts w:ascii="Arial" w:cs="Arial" w:eastAsia="Arial" w:hAnsi="Arial"/>
          <w:sz w:val="14"/>
          <w:szCs w:val="14"/>
          <w:b w:val="1"/>
          <w:bCs w:val="1"/>
          <w:color w:val="auto"/>
        </w:rPr>
        <w:t>(Address of Principal Executive Offices and zip code)</w:t>
      </w:r>
    </w:p>
    <w:p>
      <w:pPr>
        <w:spacing w:after="0" w:line="273"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(262) 879-5000</w:t>
      </w:r>
    </w:p>
    <w:p>
      <w:pPr>
        <w:spacing w:after="0" w:line="21" w:lineRule="exact"/>
        <w:rPr>
          <w:sz w:val="24"/>
          <w:szCs w:val="24"/>
          <w:color w:val="auto"/>
        </w:rPr>
      </w:pPr>
    </w:p>
    <w:p>
      <w:pPr>
        <w:jc w:val="center"/>
        <w:ind w:right="-25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46"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700" w:type="dxa"/>
            <w:vAlign w:val="bottom"/>
            <w:gridSpan w:val="2"/>
          </w:tcPr>
          <w:p>
            <w:pPr>
              <w:spacing w:after="0"/>
              <w:rPr>
                <w:sz w:val="20"/>
                <w:szCs w:val="20"/>
                <w:color w:val="auto"/>
              </w:rPr>
            </w:pPr>
            <w:r>
              <w:rPr>
                <w:rFonts w:ascii="Arial" w:cs="Arial" w:eastAsia="Arial" w:hAnsi="Arial"/>
                <w:sz w:val="18"/>
                <w:szCs w:val="18"/>
                <w:color w:val="auto"/>
              </w:rPr>
              <w:t>Securities registered pursuant to Section 12(b) of the Act</w:t>
            </w:r>
            <w:r>
              <w:rPr>
                <w:rFonts w:ascii="Arial" w:cs="Arial" w:eastAsia="Arial" w:hAnsi="Arial"/>
                <w:sz w:val="18"/>
                <w:szCs w:val="18"/>
                <w:b w:val="1"/>
                <w:bCs w:val="1"/>
                <w:color w:val="auto"/>
              </w:rPr>
              <w:t>:</w:t>
            </w:r>
          </w:p>
        </w:tc>
        <w:tc>
          <w:tcPr>
            <w:tcW w:w="2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520" w:type="dxa"/>
            <w:vAlign w:val="bottom"/>
          </w:tcPr>
          <w:p>
            <w:pPr>
              <w:spacing w:after="0"/>
              <w:rPr>
                <w:sz w:val="20"/>
                <w:szCs w:val="20"/>
                <w:color w:val="auto"/>
              </w:rPr>
            </w:pPr>
          </w:p>
        </w:tc>
      </w:tr>
      <w:tr>
        <w:trPr>
          <w:trHeight w:val="378"/>
        </w:trPr>
        <w:tc>
          <w:tcPr>
            <w:tcW w:w="1000" w:type="dxa"/>
            <w:vAlign w:val="bottom"/>
          </w:tcPr>
          <w:p>
            <w:pPr>
              <w:spacing w:after="0"/>
              <w:rPr>
                <w:sz w:val="24"/>
                <w:szCs w:val="24"/>
                <w:color w:val="auto"/>
              </w:rPr>
            </w:pPr>
          </w:p>
        </w:tc>
        <w:tc>
          <w:tcPr>
            <w:tcW w:w="3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200" w:type="dxa"/>
            <w:vAlign w:val="bottom"/>
          </w:tcPr>
          <w:p>
            <w:pPr>
              <w:spacing w:after="0"/>
              <w:rPr>
                <w:sz w:val="24"/>
                <w:szCs w:val="24"/>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Trading Symbol(s)</w:t>
            </w:r>
          </w:p>
        </w:tc>
        <w:tc>
          <w:tcPr>
            <w:tcW w:w="220" w:type="dxa"/>
            <w:vAlign w:val="bottom"/>
          </w:tcPr>
          <w:p>
            <w:pPr>
              <w:spacing w:after="0"/>
              <w:rPr>
                <w:sz w:val="24"/>
                <w:szCs w:val="24"/>
                <w:color w:val="auto"/>
              </w:rPr>
            </w:pPr>
          </w:p>
        </w:tc>
        <w:tc>
          <w:tcPr>
            <w:tcW w:w="3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304"/>
        </w:trPr>
        <w:tc>
          <w:tcPr>
            <w:tcW w:w="1000" w:type="dxa"/>
            <w:vAlign w:val="bottom"/>
          </w:tcPr>
          <w:p>
            <w:pPr>
              <w:spacing w:after="0"/>
              <w:rPr>
                <w:sz w:val="24"/>
                <w:szCs w:val="24"/>
                <w:color w:val="auto"/>
              </w:rPr>
            </w:pPr>
          </w:p>
        </w:tc>
        <w:tc>
          <w:tcPr>
            <w:tcW w:w="3700" w:type="dxa"/>
            <w:vAlign w:val="bottom"/>
          </w:tcPr>
          <w:p>
            <w:pPr>
              <w:jc w:val="center"/>
              <w:spacing w:after="0"/>
              <w:rPr>
                <w:sz w:val="20"/>
                <w:szCs w:val="20"/>
                <w:color w:val="auto"/>
              </w:rPr>
            </w:pPr>
            <w:r>
              <w:rPr>
                <w:rFonts w:ascii="Arial" w:cs="Arial" w:eastAsia="Arial" w:hAnsi="Arial"/>
                <w:sz w:val="18"/>
                <w:szCs w:val="18"/>
                <w:color w:val="auto"/>
                <w:w w:val="89"/>
              </w:rPr>
              <w:t>Common Stock, par value $0.01 per share</w:t>
            </w:r>
          </w:p>
        </w:tc>
        <w:tc>
          <w:tcPr>
            <w:tcW w:w="20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99"/>
              </w:rPr>
              <w:t>FI</w:t>
            </w:r>
          </w:p>
        </w:tc>
        <w:tc>
          <w:tcPr>
            <w:tcW w:w="220" w:type="dxa"/>
            <w:vAlign w:val="bottom"/>
          </w:tcPr>
          <w:p>
            <w:pPr>
              <w:spacing w:after="0"/>
              <w:rPr>
                <w:sz w:val="24"/>
                <w:szCs w:val="24"/>
                <w:color w:val="auto"/>
              </w:rPr>
            </w:pPr>
          </w:p>
        </w:tc>
        <w:tc>
          <w:tcPr>
            <w:tcW w:w="3520" w:type="dxa"/>
            <w:vAlign w:val="bottom"/>
          </w:tcPr>
          <w:p>
            <w:pPr>
              <w:jc w:val="center"/>
              <w:spacing w:after="0"/>
              <w:rPr>
                <w:sz w:val="20"/>
                <w:szCs w:val="20"/>
                <w:color w:val="auto"/>
              </w:rPr>
            </w:pPr>
            <w:r>
              <w:rPr>
                <w:rFonts w:ascii="Arial" w:cs="Arial" w:eastAsia="Arial" w:hAnsi="Arial"/>
                <w:sz w:val="18"/>
                <w:szCs w:val="18"/>
                <w:color w:val="auto"/>
                <w:w w:val="91"/>
              </w:rPr>
              <w:t>The New York Stock Exchange</w:t>
            </w:r>
          </w:p>
        </w:tc>
      </w:tr>
      <w:tr>
        <w:trPr>
          <w:trHeight w:val="324"/>
        </w:trPr>
        <w:tc>
          <w:tcPr>
            <w:tcW w:w="1000" w:type="dxa"/>
            <w:vAlign w:val="bottom"/>
          </w:tcPr>
          <w:p>
            <w:pPr>
              <w:spacing w:after="0"/>
              <w:rPr>
                <w:sz w:val="24"/>
                <w:szCs w:val="24"/>
                <w:color w:val="auto"/>
              </w:rPr>
            </w:pPr>
          </w:p>
        </w:tc>
        <w:tc>
          <w:tcPr>
            <w:tcW w:w="3700" w:type="dxa"/>
            <w:vAlign w:val="bottom"/>
          </w:tcPr>
          <w:p>
            <w:pPr>
              <w:jc w:val="center"/>
              <w:spacing w:after="0"/>
              <w:rPr>
                <w:sz w:val="20"/>
                <w:szCs w:val="20"/>
                <w:color w:val="auto"/>
              </w:rPr>
            </w:pPr>
            <w:r>
              <w:rPr>
                <w:rFonts w:ascii="Arial" w:cs="Arial" w:eastAsia="Arial" w:hAnsi="Arial"/>
                <w:sz w:val="18"/>
                <w:szCs w:val="18"/>
                <w:color w:val="auto"/>
                <w:w w:val="90"/>
              </w:rPr>
              <w:t>1.125% Senior Notes due 2027</w:t>
            </w:r>
          </w:p>
        </w:tc>
        <w:tc>
          <w:tcPr>
            <w:tcW w:w="20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94"/>
              </w:rPr>
              <w:t>FI27</w:t>
            </w:r>
          </w:p>
        </w:tc>
        <w:tc>
          <w:tcPr>
            <w:tcW w:w="220" w:type="dxa"/>
            <w:vAlign w:val="bottom"/>
          </w:tcPr>
          <w:p>
            <w:pPr>
              <w:spacing w:after="0"/>
              <w:rPr>
                <w:sz w:val="24"/>
                <w:szCs w:val="24"/>
                <w:color w:val="auto"/>
              </w:rPr>
            </w:pPr>
          </w:p>
        </w:tc>
        <w:tc>
          <w:tcPr>
            <w:tcW w:w="3520" w:type="dxa"/>
            <w:vAlign w:val="bottom"/>
          </w:tcPr>
          <w:p>
            <w:pPr>
              <w:jc w:val="center"/>
              <w:spacing w:after="0"/>
              <w:rPr>
                <w:sz w:val="20"/>
                <w:szCs w:val="20"/>
                <w:color w:val="auto"/>
              </w:rPr>
            </w:pPr>
            <w:r>
              <w:rPr>
                <w:rFonts w:ascii="Arial" w:cs="Arial" w:eastAsia="Arial" w:hAnsi="Arial"/>
                <w:sz w:val="18"/>
                <w:szCs w:val="18"/>
                <w:color w:val="auto"/>
                <w:w w:val="91"/>
              </w:rPr>
              <w:t>The New York Stock Exchange</w:t>
            </w:r>
          </w:p>
        </w:tc>
      </w:tr>
      <w:tr>
        <w:trPr>
          <w:trHeight w:val="324"/>
        </w:trPr>
        <w:tc>
          <w:tcPr>
            <w:tcW w:w="1000" w:type="dxa"/>
            <w:vAlign w:val="bottom"/>
          </w:tcPr>
          <w:p>
            <w:pPr>
              <w:spacing w:after="0"/>
              <w:rPr>
                <w:sz w:val="24"/>
                <w:szCs w:val="24"/>
                <w:color w:val="auto"/>
              </w:rPr>
            </w:pPr>
          </w:p>
        </w:tc>
        <w:tc>
          <w:tcPr>
            <w:tcW w:w="3700" w:type="dxa"/>
            <w:vAlign w:val="bottom"/>
          </w:tcPr>
          <w:p>
            <w:pPr>
              <w:jc w:val="center"/>
              <w:spacing w:after="0"/>
              <w:rPr>
                <w:sz w:val="20"/>
                <w:szCs w:val="20"/>
                <w:color w:val="auto"/>
              </w:rPr>
            </w:pPr>
            <w:r>
              <w:rPr>
                <w:rFonts w:ascii="Arial" w:cs="Arial" w:eastAsia="Arial" w:hAnsi="Arial"/>
                <w:sz w:val="18"/>
                <w:szCs w:val="18"/>
                <w:color w:val="auto"/>
                <w:w w:val="90"/>
              </w:rPr>
              <w:t>1.625% Senior Notes due 2030</w:t>
            </w:r>
          </w:p>
        </w:tc>
        <w:tc>
          <w:tcPr>
            <w:tcW w:w="20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94"/>
              </w:rPr>
              <w:t>FI30</w:t>
            </w:r>
          </w:p>
        </w:tc>
        <w:tc>
          <w:tcPr>
            <w:tcW w:w="220" w:type="dxa"/>
            <w:vAlign w:val="bottom"/>
          </w:tcPr>
          <w:p>
            <w:pPr>
              <w:spacing w:after="0"/>
              <w:rPr>
                <w:sz w:val="24"/>
                <w:szCs w:val="24"/>
                <w:color w:val="auto"/>
              </w:rPr>
            </w:pPr>
          </w:p>
        </w:tc>
        <w:tc>
          <w:tcPr>
            <w:tcW w:w="3520" w:type="dxa"/>
            <w:vAlign w:val="bottom"/>
          </w:tcPr>
          <w:p>
            <w:pPr>
              <w:jc w:val="center"/>
              <w:spacing w:after="0"/>
              <w:rPr>
                <w:sz w:val="20"/>
                <w:szCs w:val="20"/>
                <w:color w:val="auto"/>
              </w:rPr>
            </w:pPr>
            <w:r>
              <w:rPr>
                <w:rFonts w:ascii="Arial" w:cs="Arial" w:eastAsia="Arial" w:hAnsi="Arial"/>
                <w:sz w:val="18"/>
                <w:szCs w:val="18"/>
                <w:color w:val="auto"/>
                <w:w w:val="91"/>
              </w:rPr>
              <w:t>The New York Stock Exchange</w:t>
            </w:r>
          </w:p>
        </w:tc>
      </w:tr>
      <w:tr>
        <w:trPr>
          <w:trHeight w:val="324"/>
        </w:trPr>
        <w:tc>
          <w:tcPr>
            <w:tcW w:w="1000" w:type="dxa"/>
            <w:vAlign w:val="bottom"/>
          </w:tcPr>
          <w:p>
            <w:pPr>
              <w:spacing w:after="0"/>
              <w:rPr>
                <w:sz w:val="24"/>
                <w:szCs w:val="24"/>
                <w:color w:val="auto"/>
              </w:rPr>
            </w:pPr>
          </w:p>
        </w:tc>
        <w:tc>
          <w:tcPr>
            <w:tcW w:w="3700" w:type="dxa"/>
            <w:vAlign w:val="bottom"/>
          </w:tcPr>
          <w:p>
            <w:pPr>
              <w:jc w:val="center"/>
              <w:spacing w:after="0"/>
              <w:rPr>
                <w:sz w:val="20"/>
                <w:szCs w:val="20"/>
                <w:color w:val="auto"/>
              </w:rPr>
            </w:pPr>
            <w:r>
              <w:rPr>
                <w:rFonts w:ascii="Arial" w:cs="Arial" w:eastAsia="Arial" w:hAnsi="Arial"/>
                <w:sz w:val="18"/>
                <w:szCs w:val="18"/>
                <w:color w:val="auto"/>
                <w:w w:val="90"/>
              </w:rPr>
              <w:t>2.250% Senior Notes due 2025</w:t>
            </w:r>
          </w:p>
        </w:tc>
        <w:tc>
          <w:tcPr>
            <w:tcW w:w="20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94"/>
              </w:rPr>
              <w:t>FI25</w:t>
            </w:r>
          </w:p>
        </w:tc>
        <w:tc>
          <w:tcPr>
            <w:tcW w:w="220" w:type="dxa"/>
            <w:vAlign w:val="bottom"/>
          </w:tcPr>
          <w:p>
            <w:pPr>
              <w:spacing w:after="0"/>
              <w:rPr>
                <w:sz w:val="24"/>
                <w:szCs w:val="24"/>
                <w:color w:val="auto"/>
              </w:rPr>
            </w:pPr>
          </w:p>
        </w:tc>
        <w:tc>
          <w:tcPr>
            <w:tcW w:w="3520" w:type="dxa"/>
            <w:vAlign w:val="bottom"/>
          </w:tcPr>
          <w:p>
            <w:pPr>
              <w:jc w:val="center"/>
              <w:spacing w:after="0"/>
              <w:rPr>
                <w:sz w:val="20"/>
                <w:szCs w:val="20"/>
                <w:color w:val="auto"/>
              </w:rPr>
            </w:pPr>
            <w:r>
              <w:rPr>
                <w:rFonts w:ascii="Arial" w:cs="Arial" w:eastAsia="Arial" w:hAnsi="Arial"/>
                <w:sz w:val="18"/>
                <w:szCs w:val="18"/>
                <w:color w:val="auto"/>
                <w:w w:val="91"/>
              </w:rPr>
              <w:t>The New York Stock Exchange</w:t>
            </w:r>
          </w:p>
        </w:tc>
      </w:tr>
      <w:tr>
        <w:trPr>
          <w:trHeight w:val="324"/>
        </w:trPr>
        <w:tc>
          <w:tcPr>
            <w:tcW w:w="1000" w:type="dxa"/>
            <w:vAlign w:val="bottom"/>
          </w:tcPr>
          <w:p>
            <w:pPr>
              <w:spacing w:after="0"/>
              <w:rPr>
                <w:sz w:val="24"/>
                <w:szCs w:val="24"/>
                <w:color w:val="auto"/>
              </w:rPr>
            </w:pPr>
          </w:p>
        </w:tc>
        <w:tc>
          <w:tcPr>
            <w:tcW w:w="3700" w:type="dxa"/>
            <w:vAlign w:val="bottom"/>
          </w:tcPr>
          <w:p>
            <w:pPr>
              <w:jc w:val="center"/>
              <w:spacing w:after="0"/>
              <w:rPr>
                <w:sz w:val="20"/>
                <w:szCs w:val="20"/>
                <w:color w:val="auto"/>
              </w:rPr>
            </w:pPr>
            <w:r>
              <w:rPr>
                <w:rFonts w:ascii="Arial" w:cs="Arial" w:eastAsia="Arial" w:hAnsi="Arial"/>
                <w:sz w:val="18"/>
                <w:szCs w:val="18"/>
                <w:color w:val="auto"/>
                <w:w w:val="90"/>
              </w:rPr>
              <w:t>3.000% Senior Notes due 2031</w:t>
            </w:r>
          </w:p>
        </w:tc>
        <w:tc>
          <w:tcPr>
            <w:tcW w:w="20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94"/>
              </w:rPr>
              <w:t>FI31</w:t>
            </w:r>
          </w:p>
        </w:tc>
        <w:tc>
          <w:tcPr>
            <w:tcW w:w="220" w:type="dxa"/>
            <w:vAlign w:val="bottom"/>
          </w:tcPr>
          <w:p>
            <w:pPr>
              <w:spacing w:after="0"/>
              <w:rPr>
                <w:sz w:val="24"/>
                <w:szCs w:val="24"/>
                <w:color w:val="auto"/>
              </w:rPr>
            </w:pPr>
          </w:p>
        </w:tc>
        <w:tc>
          <w:tcPr>
            <w:tcW w:w="3520" w:type="dxa"/>
            <w:vAlign w:val="bottom"/>
          </w:tcPr>
          <w:p>
            <w:pPr>
              <w:jc w:val="center"/>
              <w:spacing w:after="0"/>
              <w:rPr>
                <w:sz w:val="20"/>
                <w:szCs w:val="20"/>
                <w:color w:val="auto"/>
              </w:rPr>
            </w:pPr>
            <w:r>
              <w:rPr>
                <w:rFonts w:ascii="Arial" w:cs="Arial" w:eastAsia="Arial" w:hAnsi="Arial"/>
                <w:sz w:val="18"/>
                <w:szCs w:val="18"/>
                <w:color w:val="auto"/>
                <w:w w:val="91"/>
              </w:rPr>
              <w:t>The New York Stock Exchange</w:t>
            </w:r>
          </w:p>
        </w:tc>
      </w:tr>
      <w:tr>
        <w:trPr>
          <w:trHeight w:val="324"/>
        </w:trPr>
        <w:tc>
          <w:tcPr>
            <w:tcW w:w="1000" w:type="dxa"/>
            <w:vAlign w:val="bottom"/>
          </w:tcPr>
          <w:p>
            <w:pPr>
              <w:spacing w:after="0"/>
              <w:rPr>
                <w:sz w:val="24"/>
                <w:szCs w:val="24"/>
                <w:color w:val="auto"/>
              </w:rPr>
            </w:pPr>
          </w:p>
        </w:tc>
        <w:tc>
          <w:tcPr>
            <w:tcW w:w="3700" w:type="dxa"/>
            <w:vAlign w:val="bottom"/>
          </w:tcPr>
          <w:p>
            <w:pPr>
              <w:jc w:val="center"/>
              <w:spacing w:after="0"/>
              <w:rPr>
                <w:sz w:val="20"/>
                <w:szCs w:val="20"/>
                <w:color w:val="auto"/>
              </w:rPr>
            </w:pPr>
            <w:r>
              <w:rPr>
                <w:rFonts w:ascii="Arial" w:cs="Arial" w:eastAsia="Arial" w:hAnsi="Arial"/>
                <w:sz w:val="18"/>
                <w:szCs w:val="18"/>
                <w:color w:val="auto"/>
                <w:w w:val="90"/>
              </w:rPr>
              <w:t>4.500% Senior Notes due 2031</w:t>
            </w:r>
          </w:p>
        </w:tc>
        <w:tc>
          <w:tcPr>
            <w:tcW w:w="20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95"/>
              </w:rPr>
              <w:t>FI31A</w:t>
            </w:r>
          </w:p>
        </w:tc>
        <w:tc>
          <w:tcPr>
            <w:tcW w:w="220" w:type="dxa"/>
            <w:vAlign w:val="bottom"/>
          </w:tcPr>
          <w:p>
            <w:pPr>
              <w:spacing w:after="0"/>
              <w:rPr>
                <w:sz w:val="24"/>
                <w:szCs w:val="24"/>
                <w:color w:val="auto"/>
              </w:rPr>
            </w:pPr>
          </w:p>
        </w:tc>
        <w:tc>
          <w:tcPr>
            <w:tcW w:w="3520" w:type="dxa"/>
            <w:vAlign w:val="bottom"/>
          </w:tcPr>
          <w:p>
            <w:pPr>
              <w:jc w:val="center"/>
              <w:spacing w:after="0"/>
              <w:rPr>
                <w:sz w:val="20"/>
                <w:szCs w:val="20"/>
                <w:color w:val="auto"/>
              </w:rPr>
            </w:pPr>
            <w:r>
              <w:rPr>
                <w:rFonts w:ascii="Arial" w:cs="Arial" w:eastAsia="Arial" w:hAnsi="Arial"/>
                <w:sz w:val="18"/>
                <w:szCs w:val="18"/>
                <w:color w:val="auto"/>
                <w:w w:val="91"/>
              </w:rPr>
              <w:t>The New York Stock Exchange</w:t>
            </w:r>
          </w:p>
        </w:tc>
      </w:tr>
    </w:tbl>
    <w:p>
      <w:pPr>
        <w:spacing w:after="0" w:line="175" w:lineRule="exact"/>
        <w:rPr>
          <w:sz w:val="24"/>
          <w:szCs w:val="24"/>
          <w:color w:val="auto"/>
        </w:rPr>
      </w:pPr>
    </w:p>
    <w:p>
      <w:pPr>
        <w:spacing w:after="0" w:line="238"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9"/>
          <w:szCs w:val="19"/>
          <w:color w:val="auto"/>
        </w:rPr>
        <w:t>☒</w:t>
      </w:r>
      <w:r>
        <w:rPr>
          <w:rFonts w:ascii="Arial" w:cs="Arial" w:eastAsia="Arial" w:hAnsi="Arial"/>
          <w:sz w:val="18"/>
          <w:szCs w:val="18"/>
          <w:color w:val="auto"/>
        </w:rPr>
        <w:t xml:space="preserve"> No </w:t>
      </w:r>
      <w:r>
        <w:rPr>
          <w:rFonts w:ascii="MS PGothic" w:cs="MS PGothic" w:eastAsia="MS PGothic" w:hAnsi="MS PGothic"/>
          <w:sz w:val="19"/>
          <w:szCs w:val="19"/>
          <w:color w:val="auto"/>
        </w:rPr>
        <w:t>☐</w:t>
      </w:r>
    </w:p>
    <w:p>
      <w:pPr>
        <w:spacing w:after="0" w:line="139" w:lineRule="exact"/>
        <w:rPr>
          <w:sz w:val="24"/>
          <w:szCs w:val="24"/>
          <w:color w:val="auto"/>
        </w:rPr>
      </w:pPr>
    </w:p>
    <w:p>
      <w:pPr>
        <w:ind w:right="100"/>
        <w:spacing w:after="0" w:line="248"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Arial" w:cs="Arial" w:eastAsia="Arial" w:hAnsi="Arial"/>
          <w:sz w:val="16"/>
          <w:szCs w:val="16"/>
          <w:color w:val="auto"/>
        </w:rPr>
        <w:t xml:space="preserve"> No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453390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303530</wp:posOffset>
            </wp:positionV>
            <wp:extent cx="709803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98030" cy="889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328930</wp:posOffset>
            </wp:positionV>
            <wp:extent cx="709803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98030" cy="8890"/>
                    </a:xfrm>
                    <a:prstGeom prst="rect">
                      <a:avLst/>
                    </a:prstGeom>
                    <a:noFill/>
                  </pic:spPr>
                </pic:pic>
              </a:graphicData>
            </a:graphic>
          </wp:anchor>
        </w:drawing>
      </w:r>
    </w:p>
    <w:p>
      <w:pPr>
        <w:sectPr>
          <w:pgSz w:w="11900" w:h="16838" w:orient="portrait"/>
          <w:cols w:equalWidth="0" w:num="1">
            <w:col w:w="10980"/>
          </w:cols>
          <w:pgMar w:left="320" w:top="233" w:right="599" w:bottom="1440" w:gutter="0" w:footer="0" w:header="0"/>
        </w:sectPr>
      </w:pPr>
    </w:p>
    <w:bookmarkStart w:id="1" w:name="page2"/>
    <w:bookmarkEnd w:id="1"/>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97"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19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1600" w:type="dxa"/>
            <w:vAlign w:val="bottom"/>
            <w:vMerge w:val="restart"/>
          </w:tcPr>
          <w:p>
            <w:pPr>
              <w:ind w:left="300"/>
              <w:spacing w:after="0" w:line="201" w:lineRule="exact"/>
              <w:rPr>
                <w:sz w:val="20"/>
                <w:szCs w:val="20"/>
                <w:color w:val="auto"/>
              </w:rPr>
            </w:pPr>
            <w:r>
              <w:rPr>
                <w:rFonts w:ascii="MS PGothic" w:cs="MS PGothic" w:eastAsia="MS PGothic" w:hAnsi="MS PGothic"/>
                <w:sz w:val="20"/>
                <w:szCs w:val="20"/>
                <w:color w:val="auto"/>
              </w:rPr>
              <w:t>☒</w:t>
            </w:r>
          </w:p>
        </w:tc>
        <w:tc>
          <w:tcPr>
            <w:tcW w:w="3480" w:type="dxa"/>
            <w:vAlign w:val="bottom"/>
          </w:tcPr>
          <w:p>
            <w:pPr>
              <w:ind w:left="1140"/>
              <w:spacing w:after="0"/>
              <w:rPr>
                <w:sz w:val="20"/>
                <w:szCs w:val="20"/>
                <w:color w:val="auto"/>
              </w:rPr>
            </w:pPr>
            <w:r>
              <w:rPr>
                <w:rFonts w:ascii="Arial" w:cs="Arial" w:eastAsia="Arial" w:hAnsi="Arial"/>
                <w:sz w:val="18"/>
                <w:szCs w:val="18"/>
                <w:color w:val="auto"/>
              </w:rPr>
              <w:t>Accelerated filer</w:t>
            </w:r>
          </w:p>
        </w:tc>
        <w:tc>
          <w:tcPr>
            <w:tcW w:w="540" w:type="dxa"/>
            <w:vAlign w:val="bottom"/>
            <w:vMerge w:val="restart"/>
          </w:tcPr>
          <w:p>
            <w:pPr>
              <w:ind w:left="360"/>
              <w:spacing w:after="0" w:line="201" w:lineRule="exact"/>
              <w:rPr>
                <w:sz w:val="20"/>
                <w:szCs w:val="20"/>
                <w:color w:val="auto"/>
              </w:rPr>
            </w:pPr>
            <w:r>
              <w:rPr>
                <w:rFonts w:ascii="MS PGothic" w:cs="MS PGothic" w:eastAsia="MS PGothic" w:hAnsi="MS PGothic"/>
                <w:sz w:val="20"/>
                <w:szCs w:val="20"/>
                <w:color w:val="auto"/>
                <w:w w:val="79"/>
              </w:rPr>
              <w:t>☐</w:t>
            </w:r>
          </w:p>
        </w:tc>
        <w:tc>
          <w:tcPr>
            <w:tcW w:w="0" w:type="dxa"/>
            <w:vAlign w:val="bottom"/>
          </w:tcPr>
          <w:p>
            <w:pPr>
              <w:spacing w:after="0"/>
              <w:rPr>
                <w:sz w:val="1"/>
                <w:szCs w:val="1"/>
                <w:color w:val="auto"/>
              </w:rPr>
            </w:pPr>
          </w:p>
        </w:tc>
      </w:tr>
      <w:tr>
        <w:trPr>
          <w:trHeight w:val="130"/>
        </w:trPr>
        <w:tc>
          <w:tcPr>
            <w:tcW w:w="1920" w:type="dxa"/>
            <w:vAlign w:val="bottom"/>
          </w:tcPr>
          <w:p>
            <w:pPr>
              <w:spacing w:after="0"/>
              <w:rPr>
                <w:sz w:val="11"/>
                <w:szCs w:val="11"/>
                <w:color w:val="auto"/>
              </w:rPr>
            </w:pPr>
          </w:p>
        </w:tc>
        <w:tc>
          <w:tcPr>
            <w:tcW w:w="1600" w:type="dxa"/>
            <w:vAlign w:val="bottom"/>
            <w:vMerge w:val="continue"/>
          </w:tcPr>
          <w:p>
            <w:pPr>
              <w:spacing w:after="0"/>
              <w:rPr>
                <w:sz w:val="11"/>
                <w:szCs w:val="11"/>
                <w:color w:val="auto"/>
              </w:rPr>
            </w:pPr>
          </w:p>
        </w:tc>
        <w:tc>
          <w:tcPr>
            <w:tcW w:w="348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302"/>
        </w:trPr>
        <w:tc>
          <w:tcPr>
            <w:tcW w:w="1920" w:type="dxa"/>
            <w:vAlign w:val="bottom"/>
          </w:tcPr>
          <w:p>
            <w:pPr>
              <w:spacing w:after="0"/>
              <w:rPr>
                <w:sz w:val="20"/>
                <w:szCs w:val="20"/>
                <w:color w:val="auto"/>
              </w:rPr>
            </w:pPr>
            <w:r>
              <w:rPr>
                <w:rFonts w:ascii="Arial" w:cs="Arial" w:eastAsia="Arial" w:hAnsi="Arial"/>
                <w:sz w:val="18"/>
                <w:szCs w:val="18"/>
                <w:color w:val="auto"/>
              </w:rPr>
              <w:t>Non-accelerated filer</w:t>
            </w:r>
          </w:p>
        </w:tc>
        <w:tc>
          <w:tcPr>
            <w:tcW w:w="1600" w:type="dxa"/>
            <w:vAlign w:val="bottom"/>
            <w:vMerge w:val="restart"/>
          </w:tcPr>
          <w:p>
            <w:pPr>
              <w:ind w:left="300"/>
              <w:spacing w:after="0" w:line="201" w:lineRule="exact"/>
              <w:rPr>
                <w:sz w:val="20"/>
                <w:szCs w:val="20"/>
                <w:color w:val="auto"/>
              </w:rPr>
            </w:pPr>
            <w:r>
              <w:rPr>
                <w:rFonts w:ascii="MS PGothic" w:cs="MS PGothic" w:eastAsia="MS PGothic" w:hAnsi="MS PGothic"/>
                <w:sz w:val="20"/>
                <w:szCs w:val="20"/>
                <w:color w:val="auto"/>
              </w:rPr>
              <w:t>☐</w:t>
            </w:r>
          </w:p>
        </w:tc>
        <w:tc>
          <w:tcPr>
            <w:tcW w:w="3480" w:type="dxa"/>
            <w:vAlign w:val="bottom"/>
          </w:tcPr>
          <w:p>
            <w:pPr>
              <w:ind w:left="1140"/>
              <w:spacing w:after="0"/>
              <w:rPr>
                <w:sz w:val="20"/>
                <w:szCs w:val="20"/>
                <w:color w:val="auto"/>
              </w:rPr>
            </w:pPr>
            <w:r>
              <w:rPr>
                <w:rFonts w:ascii="Arial" w:cs="Arial" w:eastAsia="Arial" w:hAnsi="Arial"/>
                <w:sz w:val="18"/>
                <w:szCs w:val="18"/>
                <w:color w:val="auto"/>
              </w:rPr>
              <w:t>Smaller reporting company</w:t>
            </w:r>
          </w:p>
        </w:tc>
        <w:tc>
          <w:tcPr>
            <w:tcW w:w="540" w:type="dxa"/>
            <w:vAlign w:val="bottom"/>
            <w:vMerge w:val="restart"/>
          </w:tcPr>
          <w:p>
            <w:pPr>
              <w:ind w:left="360"/>
              <w:spacing w:after="0" w:line="201" w:lineRule="exact"/>
              <w:rPr>
                <w:sz w:val="20"/>
                <w:szCs w:val="20"/>
                <w:color w:val="auto"/>
              </w:rPr>
            </w:pPr>
            <w:r>
              <w:rPr>
                <w:rFonts w:ascii="MS PGothic" w:cs="MS PGothic" w:eastAsia="MS PGothic" w:hAnsi="MS PGothic"/>
                <w:sz w:val="20"/>
                <w:szCs w:val="20"/>
                <w:color w:val="auto"/>
                <w:w w:val="79"/>
              </w:rPr>
              <w:t>☐</w:t>
            </w:r>
          </w:p>
        </w:tc>
        <w:tc>
          <w:tcPr>
            <w:tcW w:w="0" w:type="dxa"/>
            <w:vAlign w:val="bottom"/>
          </w:tcPr>
          <w:p>
            <w:pPr>
              <w:spacing w:after="0"/>
              <w:rPr>
                <w:sz w:val="1"/>
                <w:szCs w:val="1"/>
                <w:color w:val="auto"/>
              </w:rPr>
            </w:pPr>
          </w:p>
        </w:tc>
      </w:tr>
      <w:tr>
        <w:trPr>
          <w:trHeight w:val="130"/>
        </w:trPr>
        <w:tc>
          <w:tcPr>
            <w:tcW w:w="1920" w:type="dxa"/>
            <w:vAlign w:val="bottom"/>
          </w:tcPr>
          <w:p>
            <w:pPr>
              <w:spacing w:after="0"/>
              <w:rPr>
                <w:sz w:val="11"/>
                <w:szCs w:val="11"/>
                <w:color w:val="auto"/>
              </w:rPr>
            </w:pPr>
          </w:p>
        </w:tc>
        <w:tc>
          <w:tcPr>
            <w:tcW w:w="1600" w:type="dxa"/>
            <w:vAlign w:val="bottom"/>
            <w:vMerge w:val="continue"/>
          </w:tcPr>
          <w:p>
            <w:pPr>
              <w:spacing w:after="0"/>
              <w:rPr>
                <w:sz w:val="11"/>
                <w:szCs w:val="11"/>
                <w:color w:val="auto"/>
              </w:rPr>
            </w:pPr>
          </w:p>
        </w:tc>
        <w:tc>
          <w:tcPr>
            <w:tcW w:w="348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302"/>
        </w:trPr>
        <w:tc>
          <w:tcPr>
            <w:tcW w:w="19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480" w:type="dxa"/>
            <w:vAlign w:val="bottom"/>
          </w:tcPr>
          <w:p>
            <w:pPr>
              <w:ind w:left="1140"/>
              <w:spacing w:after="0"/>
              <w:rPr>
                <w:sz w:val="20"/>
                <w:szCs w:val="20"/>
                <w:color w:val="auto"/>
              </w:rPr>
            </w:pPr>
            <w:r>
              <w:rPr>
                <w:rFonts w:ascii="Arial" w:cs="Arial" w:eastAsia="Arial" w:hAnsi="Arial"/>
                <w:sz w:val="18"/>
                <w:szCs w:val="18"/>
                <w:color w:val="auto"/>
              </w:rPr>
              <w:t>Emerging growth company</w:t>
            </w:r>
          </w:p>
        </w:tc>
        <w:tc>
          <w:tcPr>
            <w:tcW w:w="540" w:type="dxa"/>
            <w:vAlign w:val="bottom"/>
            <w:vMerge w:val="restart"/>
          </w:tcPr>
          <w:p>
            <w:pPr>
              <w:ind w:left="360"/>
              <w:spacing w:after="0" w:line="201" w:lineRule="exact"/>
              <w:rPr>
                <w:sz w:val="20"/>
                <w:szCs w:val="20"/>
                <w:color w:val="auto"/>
              </w:rPr>
            </w:pPr>
            <w:r>
              <w:rPr>
                <w:rFonts w:ascii="MS PGothic" w:cs="MS PGothic" w:eastAsia="MS PGothic" w:hAnsi="MS PGothic"/>
                <w:sz w:val="20"/>
                <w:szCs w:val="20"/>
                <w:color w:val="auto"/>
                <w:w w:val="79"/>
              </w:rPr>
              <w:t>☐</w:t>
            </w:r>
          </w:p>
        </w:tc>
        <w:tc>
          <w:tcPr>
            <w:tcW w:w="0" w:type="dxa"/>
            <w:vAlign w:val="bottom"/>
          </w:tcPr>
          <w:p>
            <w:pPr>
              <w:spacing w:after="0"/>
              <w:rPr>
                <w:sz w:val="1"/>
                <w:szCs w:val="1"/>
                <w:color w:val="auto"/>
              </w:rPr>
            </w:pPr>
          </w:p>
        </w:tc>
      </w:tr>
      <w:tr>
        <w:trPr>
          <w:trHeight w:val="131"/>
        </w:trPr>
        <w:tc>
          <w:tcPr>
            <w:tcW w:w="192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348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139" w:lineRule="exact"/>
        <w:rPr>
          <w:sz w:val="20"/>
          <w:szCs w:val="20"/>
          <w:color w:val="auto"/>
        </w:rPr>
      </w:pPr>
    </w:p>
    <w:p>
      <w:pPr>
        <w:spacing w:after="0" w:line="24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9"/>
          <w:szCs w:val="19"/>
          <w:color w:val="auto"/>
        </w:rPr>
        <w:t>☐</w:t>
      </w:r>
    </w:p>
    <w:p>
      <w:pPr>
        <w:spacing w:after="0" w:line="86" w:lineRule="exact"/>
        <w:rPr>
          <w:sz w:val="20"/>
          <w:szCs w:val="20"/>
          <w:color w:val="auto"/>
        </w:rPr>
      </w:pPr>
    </w:p>
    <w:p>
      <w:pPr>
        <w:spacing w:after="0" w:line="219" w:lineRule="exact"/>
        <w:tabs>
          <w:tab w:leader="none" w:pos="8340" w:val="left"/>
          <w:tab w:leader="none" w:pos="904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9"/>
          <w:szCs w:val="19"/>
          <w:color w:val="auto"/>
        </w:rPr>
        <w:t>☐</w:t>
      </w:r>
      <w:r>
        <w:rPr>
          <w:rFonts w:ascii="Arial" w:cs="Arial" w:eastAsia="Arial" w:hAnsi="Arial"/>
          <w:sz w:val="18"/>
          <w:szCs w:val="18"/>
          <w:color w:val="auto"/>
        </w:rPr>
        <w:tab/>
        <w:t xml:space="preserve">No </w:t>
      </w:r>
      <w:r>
        <w:rPr>
          <w:rFonts w:ascii="MS PGothic" w:cs="MS PGothic" w:eastAsia="MS PGothic" w:hAnsi="MS PGothic"/>
          <w:sz w:val="19"/>
          <w:szCs w:val="19"/>
          <w:color w:val="auto"/>
        </w:rPr>
        <w:t>☒</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As of July 21, 2023, there were 609,614,903 shares of common stock, $.01 par value, of the registrant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332105</wp:posOffset>
            </wp:positionV>
            <wp:extent cx="709803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98030" cy="825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357505</wp:posOffset>
            </wp:positionV>
            <wp:extent cx="709803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098030" cy="8255"/>
                    </a:xfrm>
                    <a:prstGeom prst="rect">
                      <a:avLst/>
                    </a:prstGeom>
                    <a:noFill/>
                  </pic:spPr>
                </pic:pic>
              </a:graphicData>
            </a:graphic>
          </wp:anchor>
        </w:drawing>
      </w:r>
    </w:p>
    <w:p>
      <w:pPr>
        <w:sectPr>
          <w:pgSz w:w="11900" w:h="16838" w:orient="portrait"/>
          <w:cols w:equalWidth="0" w:num="1">
            <w:col w:w="11080"/>
          </w:cols>
          <w:pgMar w:left="320" w:top="125" w:right="49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10300" w:type="dxa"/>
            <w:vAlign w:val="bottom"/>
            <w:gridSpan w:val="19"/>
          </w:tcPr>
          <w:p>
            <w:pPr>
              <w:spacing w:after="0"/>
              <w:rPr>
                <w:sz w:val="20"/>
                <w:szCs w:val="20"/>
                <w:color w:val="auto"/>
              </w:rPr>
            </w:pPr>
            <w:r>
              <w:rPr>
                <w:rFonts w:ascii="Arial" w:cs="Arial" w:eastAsia="Arial" w:hAnsi="Arial"/>
                <w:sz w:val="18"/>
                <w:szCs w:val="18"/>
                <w:color w:val="0000FF"/>
              </w:rPr>
              <w:t>Table of Contents</w:t>
            </w: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90"/>
        </w:trPr>
        <w:tc>
          <w:tcPr>
            <w:tcW w:w="20" w:type="dxa"/>
            <w:vAlign w:val="bottom"/>
            <w:tcBorders>
              <w:top w:val="single" w:sz="8" w:color="0000FF"/>
            </w:tcBorders>
          </w:tcPr>
          <w:p>
            <w:pPr>
              <w:spacing w:after="0"/>
              <w:rPr>
                <w:sz w:val="24"/>
                <w:szCs w:val="24"/>
                <w:color w:val="auto"/>
              </w:rPr>
            </w:pPr>
          </w:p>
        </w:tc>
        <w:tc>
          <w:tcPr>
            <w:tcW w:w="94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960" w:type="dxa"/>
            <w:vAlign w:val="bottom"/>
            <w:gridSpan w:val="2"/>
          </w:tcPr>
          <w:p>
            <w:pPr>
              <w:spacing w:after="0"/>
              <w:rPr>
                <w:sz w:val="20"/>
                <w:szCs w:val="20"/>
                <w:color w:val="auto"/>
              </w:rPr>
            </w:pPr>
            <w:r>
              <w:rPr>
                <w:rFonts w:ascii="Arial" w:cs="Arial" w:eastAsia="Arial" w:hAnsi="Arial"/>
                <w:sz w:val="18"/>
                <w:szCs w:val="18"/>
                <w:b w:val="1"/>
                <w:bCs w:val="1"/>
                <w:color w:val="auto"/>
              </w:rPr>
              <w:t>INDEX</w:t>
            </w: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20" w:type="dxa"/>
            <w:vAlign w:val="bottom"/>
          </w:tcPr>
          <w:p>
            <w:pPr>
              <w:spacing w:after="0"/>
              <w:rPr>
                <w:sz w:val="24"/>
                <w:szCs w:val="24"/>
                <w:color w:val="auto"/>
              </w:rPr>
            </w:pPr>
          </w:p>
        </w:tc>
        <w:tc>
          <w:tcPr>
            <w:tcW w:w="10280" w:type="dxa"/>
            <w:vAlign w:val="bottom"/>
            <w:gridSpan w:val="18"/>
            <w:vMerge w:val="restart"/>
          </w:tcPr>
          <w:p>
            <w:pPr>
              <w:spacing w:after="0"/>
              <w:rPr>
                <w:sz w:val="20"/>
                <w:szCs w:val="20"/>
                <w:color w:val="auto"/>
              </w:rPr>
            </w:pPr>
            <w:r>
              <w:rPr>
                <w:rFonts w:ascii="Arial" w:cs="Arial" w:eastAsia="Arial" w:hAnsi="Arial"/>
                <w:sz w:val="18"/>
                <w:szCs w:val="18"/>
                <w:color w:val="0000FF"/>
              </w:rPr>
              <w:t>PART I – FINANCIAL INFORMATION</w:t>
            </w:r>
          </w:p>
        </w:tc>
        <w:tc>
          <w:tcPr>
            <w:tcW w:w="7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280" w:type="dxa"/>
            <w:vAlign w:val="bottom"/>
            <w:gridSpan w:val="18"/>
            <w:vMerge w:val="continue"/>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20" w:type="dxa"/>
            <w:vAlign w:val="bottom"/>
          </w:tcPr>
          <w:p>
            <w:pPr>
              <w:spacing w:after="0"/>
              <w:rPr>
                <w:sz w:val="24"/>
                <w:szCs w:val="24"/>
                <w:color w:val="auto"/>
              </w:rPr>
            </w:pPr>
          </w:p>
        </w:tc>
        <w:tc>
          <w:tcPr>
            <w:tcW w:w="940" w:type="dxa"/>
            <w:vAlign w:val="bottom"/>
          </w:tcPr>
          <w:p>
            <w:pPr>
              <w:spacing w:after="0"/>
              <w:rPr>
                <w:sz w:val="20"/>
                <w:szCs w:val="20"/>
                <w:color w:val="auto"/>
              </w:rPr>
            </w:pPr>
            <w:r>
              <w:rPr>
                <w:rFonts w:ascii="Arial" w:cs="Arial" w:eastAsia="Arial" w:hAnsi="Arial"/>
                <w:sz w:val="18"/>
                <w:szCs w:val="18"/>
                <w:color w:val="auto"/>
              </w:rPr>
              <w:t>Item 1.</w:t>
            </w:r>
          </w:p>
        </w:tc>
        <w:tc>
          <w:tcPr>
            <w:tcW w:w="2440" w:type="dxa"/>
            <w:vAlign w:val="bottom"/>
            <w:tcBorders>
              <w:bottom w:val="single" w:sz="8" w:color="0000FF"/>
            </w:tcBorders>
            <w:gridSpan w:val="9"/>
          </w:tcPr>
          <w:p>
            <w:pPr>
              <w:spacing w:after="0"/>
              <w:rPr>
                <w:sz w:val="20"/>
                <w:szCs w:val="20"/>
                <w:color w:val="auto"/>
              </w:rPr>
            </w:pPr>
            <w:r>
              <w:rPr>
                <w:rFonts w:ascii="Arial" w:cs="Arial" w:eastAsia="Arial" w:hAnsi="Arial"/>
                <w:sz w:val="18"/>
                <w:szCs w:val="18"/>
                <w:color w:val="0000FF"/>
                <w:w w:val="90"/>
              </w:rPr>
              <w:t>Financial Statements (Unaudited)</w:t>
            </w:r>
          </w:p>
        </w:tc>
        <w:tc>
          <w:tcPr>
            <w:tcW w:w="6900" w:type="dxa"/>
            <w:vAlign w:val="bottom"/>
            <w:gridSpan w:val="8"/>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580" w:type="dxa"/>
            <w:vAlign w:val="bottom"/>
            <w:tcBorders>
              <w:bottom w:val="single" w:sz="8" w:color="0000FF"/>
            </w:tcBorders>
            <w:gridSpan w:val="9"/>
          </w:tcPr>
          <w:p>
            <w:pPr>
              <w:spacing w:after="0"/>
              <w:rPr>
                <w:sz w:val="20"/>
                <w:szCs w:val="20"/>
                <w:color w:val="auto"/>
              </w:rPr>
            </w:pPr>
            <w:r>
              <w:rPr>
                <w:rFonts w:ascii="Arial" w:cs="Arial" w:eastAsia="Arial" w:hAnsi="Arial"/>
                <w:sz w:val="18"/>
                <w:szCs w:val="18"/>
                <w:color w:val="0000FF"/>
                <w:w w:val="89"/>
              </w:rPr>
              <w:t>Consolidated Statements of Income</w:t>
            </w:r>
          </w:p>
        </w:tc>
        <w:tc>
          <w:tcPr>
            <w:tcW w:w="6440" w:type="dxa"/>
            <w:vAlign w:val="bottom"/>
            <w:gridSpan w:val="7"/>
          </w:tcPr>
          <w:p>
            <w:pPr>
              <w:spacing w:after="0"/>
              <w:rPr>
                <w:sz w:val="18"/>
                <w:szCs w:val="18"/>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79"/>
              </w:rPr>
              <w:t>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20" w:type="dxa"/>
            <w:vAlign w:val="bottom"/>
            <w:gridSpan w:val="16"/>
          </w:tcPr>
          <w:p>
            <w:pPr>
              <w:spacing w:after="0"/>
              <w:rPr>
                <w:sz w:val="20"/>
                <w:szCs w:val="20"/>
                <w:color w:val="auto"/>
              </w:rPr>
            </w:pPr>
            <w:r>
              <w:rPr>
                <w:rFonts w:ascii="Arial" w:cs="Arial" w:eastAsia="Arial" w:hAnsi="Arial"/>
                <w:sz w:val="18"/>
                <w:szCs w:val="18"/>
                <w:color w:val="0000FF"/>
              </w:rPr>
              <w:t>Consolidated Statements of Comprehensive Income</w:t>
            </w:r>
          </w:p>
        </w:tc>
        <w:tc>
          <w:tcPr>
            <w:tcW w:w="720" w:type="dxa"/>
            <w:vAlign w:val="bottom"/>
          </w:tcPr>
          <w:p>
            <w:pPr>
              <w:jc w:val="center"/>
              <w:spacing w:after="0"/>
              <w:rPr>
                <w:sz w:val="20"/>
                <w:szCs w:val="20"/>
                <w:color w:val="auto"/>
              </w:rPr>
            </w:pPr>
            <w:r>
              <w:rPr>
                <w:rFonts w:ascii="Arial" w:cs="Arial" w:eastAsia="Arial" w:hAnsi="Arial"/>
                <w:sz w:val="18"/>
                <w:szCs w:val="18"/>
                <w:color w:val="auto"/>
                <w:w w:val="79"/>
              </w:rPr>
              <w:t>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100" w:type="dxa"/>
            <w:vAlign w:val="bottom"/>
            <w:tcBorders>
              <w:top w:val="single" w:sz="8" w:color="0000FF"/>
              <w:bottom w:val="single" w:sz="8" w:color="0000FF"/>
            </w:tcBorders>
            <w:gridSpan w:val="7"/>
          </w:tcPr>
          <w:p>
            <w:pPr>
              <w:spacing w:after="0"/>
              <w:rPr>
                <w:sz w:val="20"/>
                <w:szCs w:val="20"/>
                <w:color w:val="auto"/>
              </w:rPr>
            </w:pPr>
            <w:r>
              <w:rPr>
                <w:rFonts w:ascii="Arial" w:cs="Arial" w:eastAsia="Arial" w:hAnsi="Arial"/>
                <w:sz w:val="18"/>
                <w:szCs w:val="18"/>
                <w:color w:val="0000FF"/>
                <w:w w:val="88"/>
              </w:rPr>
              <w:t>Consolidated Balance Sheets</w:t>
            </w:r>
          </w:p>
        </w:tc>
        <w:tc>
          <w:tcPr>
            <w:tcW w:w="1640" w:type="dxa"/>
            <w:vAlign w:val="bottom"/>
            <w:tcBorders>
              <w:top w:val="single" w:sz="8" w:color="0000FF"/>
            </w:tcBorders>
            <w:gridSpan w:val="5"/>
          </w:tcPr>
          <w:p>
            <w:pPr>
              <w:spacing w:after="0"/>
              <w:rPr>
                <w:sz w:val="19"/>
                <w:szCs w:val="19"/>
                <w:color w:val="auto"/>
              </w:rPr>
            </w:pPr>
          </w:p>
        </w:tc>
        <w:tc>
          <w:tcPr>
            <w:tcW w:w="5280" w:type="dxa"/>
            <w:vAlign w:val="bottom"/>
            <w:gridSpan w:val="4"/>
          </w:tcPr>
          <w:p>
            <w:pPr>
              <w:spacing w:after="0"/>
              <w:rPr>
                <w:sz w:val="19"/>
                <w:szCs w:val="19"/>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79"/>
              </w:rPr>
              <w:t>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80" w:type="dxa"/>
            <w:vAlign w:val="bottom"/>
            <w:tcBorders>
              <w:bottom w:val="single" w:sz="8" w:color="0000FF"/>
            </w:tcBorders>
            <w:gridSpan w:val="10"/>
          </w:tcPr>
          <w:p>
            <w:pPr>
              <w:spacing w:after="0"/>
              <w:rPr>
                <w:sz w:val="20"/>
                <w:szCs w:val="20"/>
                <w:color w:val="auto"/>
              </w:rPr>
            </w:pPr>
            <w:r>
              <w:rPr>
                <w:rFonts w:ascii="Arial" w:cs="Arial" w:eastAsia="Arial" w:hAnsi="Arial"/>
                <w:sz w:val="18"/>
                <w:szCs w:val="18"/>
                <w:color w:val="0000FF"/>
                <w:w w:val="89"/>
              </w:rPr>
              <w:t>Consolidated Statements of Cash Flows</w:t>
            </w:r>
          </w:p>
        </w:tc>
        <w:tc>
          <w:tcPr>
            <w:tcW w:w="6140" w:type="dxa"/>
            <w:vAlign w:val="bottom"/>
            <w:gridSpan w:val="6"/>
          </w:tcPr>
          <w:p>
            <w:pPr>
              <w:spacing w:after="0"/>
              <w:rPr>
                <w:sz w:val="18"/>
                <w:szCs w:val="18"/>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79"/>
              </w:rPr>
              <w:t>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160" w:type="dxa"/>
            <w:vAlign w:val="bottom"/>
            <w:tcBorders>
              <w:bottom w:val="single" w:sz="8" w:color="0000FF"/>
            </w:tcBorders>
            <w:gridSpan w:val="11"/>
          </w:tcPr>
          <w:p>
            <w:pPr>
              <w:spacing w:after="0"/>
              <w:rPr>
                <w:sz w:val="20"/>
                <w:szCs w:val="20"/>
                <w:color w:val="auto"/>
              </w:rPr>
            </w:pPr>
            <w:r>
              <w:rPr>
                <w:rFonts w:ascii="Arial" w:cs="Arial" w:eastAsia="Arial" w:hAnsi="Arial"/>
                <w:sz w:val="18"/>
                <w:szCs w:val="18"/>
                <w:color w:val="0000FF"/>
                <w:w w:val="89"/>
              </w:rPr>
              <w:t>Notes to Consolidated Financial Statements</w:t>
            </w:r>
          </w:p>
        </w:tc>
        <w:tc>
          <w:tcPr>
            <w:tcW w:w="5860" w:type="dxa"/>
            <w:vAlign w:val="bottom"/>
            <w:gridSpan w:val="5"/>
          </w:tcPr>
          <w:p>
            <w:pPr>
              <w:spacing w:after="0"/>
              <w:rPr>
                <w:sz w:val="18"/>
                <w:szCs w:val="18"/>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79"/>
              </w:rPr>
              <w:t>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40" w:type="dxa"/>
            <w:vAlign w:val="bottom"/>
          </w:tcPr>
          <w:p>
            <w:pPr>
              <w:spacing w:after="0"/>
              <w:rPr>
                <w:sz w:val="20"/>
                <w:szCs w:val="20"/>
                <w:color w:val="auto"/>
              </w:rPr>
            </w:pPr>
            <w:r>
              <w:rPr>
                <w:rFonts w:ascii="Arial" w:cs="Arial" w:eastAsia="Arial" w:hAnsi="Arial"/>
                <w:sz w:val="18"/>
                <w:szCs w:val="18"/>
                <w:color w:val="auto"/>
              </w:rPr>
              <w:t>Item 2.</w:t>
            </w:r>
          </w:p>
        </w:tc>
        <w:tc>
          <w:tcPr>
            <w:tcW w:w="6460" w:type="dxa"/>
            <w:vAlign w:val="bottom"/>
            <w:tcBorders>
              <w:bottom w:val="single" w:sz="8" w:color="0000FF"/>
            </w:tcBorders>
            <w:gridSpan w:val="16"/>
          </w:tcPr>
          <w:p>
            <w:pPr>
              <w:spacing w:after="0"/>
              <w:rPr>
                <w:sz w:val="20"/>
                <w:szCs w:val="20"/>
                <w:color w:val="auto"/>
              </w:rPr>
            </w:pPr>
            <w:r>
              <w:rPr>
                <w:rFonts w:ascii="Arial" w:cs="Arial" w:eastAsia="Arial" w:hAnsi="Arial"/>
                <w:sz w:val="18"/>
                <w:szCs w:val="18"/>
                <w:color w:val="0000FF"/>
                <w:w w:val="90"/>
              </w:rPr>
              <w:t>Management’s Discussion and Analysis of Financial Condition and Results of Operations</w:t>
            </w:r>
          </w:p>
        </w:tc>
        <w:tc>
          <w:tcPr>
            <w:tcW w:w="2880" w:type="dxa"/>
            <w:vAlign w:val="bottom"/>
          </w:tcPr>
          <w:p>
            <w:pPr>
              <w:spacing w:after="0"/>
              <w:rPr>
                <w:sz w:val="19"/>
                <w:szCs w:val="19"/>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89"/>
              </w:rPr>
              <w:t>28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40" w:type="dxa"/>
            <w:vAlign w:val="bottom"/>
          </w:tcPr>
          <w:p>
            <w:pPr>
              <w:spacing w:after="0"/>
              <w:rPr>
                <w:sz w:val="20"/>
                <w:szCs w:val="20"/>
                <w:color w:val="auto"/>
              </w:rPr>
            </w:pPr>
            <w:r>
              <w:rPr>
                <w:rFonts w:ascii="Arial" w:cs="Arial" w:eastAsia="Arial" w:hAnsi="Arial"/>
                <w:sz w:val="18"/>
                <w:szCs w:val="18"/>
                <w:color w:val="auto"/>
              </w:rPr>
              <w:t>Item 3.</w:t>
            </w:r>
          </w:p>
        </w:tc>
        <w:tc>
          <w:tcPr>
            <w:tcW w:w="4380" w:type="dxa"/>
            <w:vAlign w:val="bottom"/>
            <w:tcBorders>
              <w:bottom w:val="single" w:sz="8" w:color="0000FF"/>
            </w:tcBorders>
            <w:gridSpan w:val="15"/>
          </w:tcPr>
          <w:p>
            <w:pPr>
              <w:spacing w:after="0"/>
              <w:rPr>
                <w:sz w:val="20"/>
                <w:szCs w:val="20"/>
                <w:color w:val="auto"/>
              </w:rPr>
            </w:pPr>
            <w:r>
              <w:rPr>
                <w:rFonts w:ascii="Arial" w:cs="Arial" w:eastAsia="Arial" w:hAnsi="Arial"/>
                <w:sz w:val="18"/>
                <w:szCs w:val="18"/>
                <w:color w:val="0000FF"/>
                <w:w w:val="92"/>
              </w:rPr>
              <w:t>Quantitative and Qualitative Disclosures About Market Risk</w:t>
            </w:r>
          </w:p>
        </w:tc>
        <w:tc>
          <w:tcPr>
            <w:tcW w:w="4960" w:type="dxa"/>
            <w:vAlign w:val="bottom"/>
            <w:gridSpan w:val="2"/>
          </w:tcPr>
          <w:p>
            <w:pPr>
              <w:spacing w:after="0"/>
              <w:rPr>
                <w:sz w:val="18"/>
                <w:szCs w:val="18"/>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89"/>
              </w:rPr>
              <w:t>40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40" w:type="dxa"/>
            <w:vAlign w:val="bottom"/>
          </w:tcPr>
          <w:p>
            <w:pPr>
              <w:spacing w:after="0"/>
              <w:rPr>
                <w:sz w:val="20"/>
                <w:szCs w:val="20"/>
                <w:color w:val="auto"/>
              </w:rPr>
            </w:pPr>
            <w:r>
              <w:rPr>
                <w:rFonts w:ascii="Arial" w:cs="Arial" w:eastAsia="Arial" w:hAnsi="Arial"/>
                <w:sz w:val="18"/>
                <w:szCs w:val="18"/>
                <w:color w:val="auto"/>
              </w:rPr>
              <w:t>Item 4.</w:t>
            </w:r>
          </w:p>
        </w:tc>
        <w:tc>
          <w:tcPr>
            <w:tcW w:w="1780" w:type="dxa"/>
            <w:vAlign w:val="bottom"/>
            <w:tcBorders>
              <w:bottom w:val="single" w:sz="8" w:color="0000FF"/>
            </w:tcBorders>
            <w:gridSpan w:val="6"/>
          </w:tcPr>
          <w:p>
            <w:pPr>
              <w:spacing w:after="0"/>
              <w:rPr>
                <w:sz w:val="20"/>
                <w:szCs w:val="20"/>
                <w:color w:val="auto"/>
              </w:rPr>
            </w:pPr>
            <w:r>
              <w:rPr>
                <w:rFonts w:ascii="Arial" w:cs="Arial" w:eastAsia="Arial" w:hAnsi="Arial"/>
                <w:sz w:val="18"/>
                <w:szCs w:val="18"/>
                <w:color w:val="0000FF"/>
                <w:w w:val="88"/>
              </w:rPr>
              <w:t>Controls and Procedures</w:t>
            </w:r>
          </w:p>
        </w:tc>
        <w:tc>
          <w:tcPr>
            <w:tcW w:w="7560" w:type="dxa"/>
            <w:vAlign w:val="bottom"/>
            <w:gridSpan w:val="11"/>
          </w:tcPr>
          <w:p>
            <w:pPr>
              <w:spacing w:after="0"/>
              <w:rPr>
                <w:sz w:val="18"/>
                <w:szCs w:val="18"/>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89"/>
              </w:rPr>
              <w:t>40</w:t>
            </w:r>
          </w:p>
        </w:tc>
        <w:tc>
          <w:tcPr>
            <w:tcW w:w="0" w:type="dxa"/>
            <w:vAlign w:val="bottom"/>
          </w:tcPr>
          <w:p>
            <w:pPr>
              <w:spacing w:after="0"/>
              <w:rPr>
                <w:sz w:val="1"/>
                <w:szCs w:val="1"/>
                <w:color w:val="auto"/>
              </w:rPr>
            </w:pPr>
          </w:p>
        </w:tc>
      </w:tr>
      <w:tr>
        <w:trPr>
          <w:trHeight w:val="493"/>
        </w:trPr>
        <w:tc>
          <w:tcPr>
            <w:tcW w:w="20" w:type="dxa"/>
            <w:vAlign w:val="bottom"/>
          </w:tcPr>
          <w:p>
            <w:pPr>
              <w:spacing w:after="0"/>
              <w:rPr>
                <w:sz w:val="24"/>
                <w:szCs w:val="24"/>
                <w:color w:val="auto"/>
              </w:rPr>
            </w:pPr>
          </w:p>
        </w:tc>
        <w:tc>
          <w:tcPr>
            <w:tcW w:w="10280" w:type="dxa"/>
            <w:vAlign w:val="bottom"/>
            <w:gridSpan w:val="18"/>
          </w:tcPr>
          <w:p>
            <w:pPr>
              <w:spacing w:after="0"/>
              <w:rPr>
                <w:sz w:val="20"/>
                <w:szCs w:val="20"/>
                <w:color w:val="auto"/>
              </w:rPr>
            </w:pPr>
            <w:r>
              <w:rPr>
                <w:rFonts w:ascii="Arial" w:cs="Arial" w:eastAsia="Arial" w:hAnsi="Arial"/>
                <w:sz w:val="18"/>
                <w:szCs w:val="18"/>
                <w:color w:val="0000FF"/>
              </w:rPr>
              <w:t>PART II – OTHER INFORMATION</w:t>
            </w: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9"/>
        </w:trPr>
        <w:tc>
          <w:tcPr>
            <w:tcW w:w="20" w:type="dxa"/>
            <w:vAlign w:val="bottom"/>
          </w:tcPr>
          <w:p>
            <w:pPr>
              <w:spacing w:after="0"/>
              <w:rPr>
                <w:sz w:val="24"/>
                <w:szCs w:val="24"/>
                <w:color w:val="auto"/>
              </w:rPr>
            </w:pPr>
          </w:p>
        </w:tc>
        <w:tc>
          <w:tcPr>
            <w:tcW w:w="940" w:type="dxa"/>
            <w:vAlign w:val="bottom"/>
            <w:tcBorders>
              <w:top w:val="single" w:sz="8" w:color="0000FF"/>
            </w:tcBorders>
          </w:tcPr>
          <w:p>
            <w:pPr>
              <w:spacing w:after="0"/>
              <w:rPr>
                <w:sz w:val="20"/>
                <w:szCs w:val="20"/>
                <w:color w:val="auto"/>
              </w:rPr>
            </w:pPr>
            <w:r>
              <w:rPr>
                <w:rFonts w:ascii="Arial" w:cs="Arial" w:eastAsia="Arial" w:hAnsi="Arial"/>
                <w:sz w:val="18"/>
                <w:szCs w:val="18"/>
                <w:color w:val="auto"/>
              </w:rPr>
              <w:t>Item 1.</w:t>
            </w:r>
          </w:p>
        </w:tc>
        <w:tc>
          <w:tcPr>
            <w:tcW w:w="1340" w:type="dxa"/>
            <w:vAlign w:val="bottom"/>
            <w:tcBorders>
              <w:top w:val="single" w:sz="8" w:color="0000FF"/>
              <w:bottom w:val="single" w:sz="8" w:color="0000FF"/>
            </w:tcBorders>
            <w:gridSpan w:val="4"/>
          </w:tcPr>
          <w:p>
            <w:pPr>
              <w:spacing w:after="0"/>
              <w:rPr>
                <w:sz w:val="20"/>
                <w:szCs w:val="20"/>
                <w:color w:val="auto"/>
              </w:rPr>
            </w:pPr>
            <w:r>
              <w:rPr>
                <w:rFonts w:ascii="Arial" w:cs="Arial" w:eastAsia="Arial" w:hAnsi="Arial"/>
                <w:sz w:val="18"/>
                <w:szCs w:val="18"/>
                <w:color w:val="0000FF"/>
                <w:w w:val="88"/>
              </w:rPr>
              <w:t>Legal Proceedings</w:t>
            </w:r>
          </w:p>
        </w:tc>
        <w:tc>
          <w:tcPr>
            <w:tcW w:w="380" w:type="dxa"/>
            <w:vAlign w:val="bottom"/>
            <w:tcBorders>
              <w:top w:val="single" w:sz="8" w:color="0000FF"/>
            </w:tcBorders>
          </w:tcPr>
          <w:p>
            <w:pPr>
              <w:spacing w:after="0"/>
              <w:rPr>
                <w:sz w:val="24"/>
                <w:szCs w:val="24"/>
                <w:color w:val="auto"/>
              </w:rPr>
            </w:pPr>
          </w:p>
        </w:tc>
        <w:tc>
          <w:tcPr>
            <w:tcW w:w="7620" w:type="dxa"/>
            <w:vAlign w:val="bottom"/>
            <w:gridSpan w:val="12"/>
          </w:tcPr>
          <w:p>
            <w:pPr>
              <w:spacing w:after="0"/>
              <w:rPr>
                <w:sz w:val="24"/>
                <w:szCs w:val="24"/>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89"/>
              </w:rPr>
              <w:t>41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40" w:type="dxa"/>
            <w:vAlign w:val="bottom"/>
          </w:tcPr>
          <w:p>
            <w:pPr>
              <w:spacing w:after="0"/>
              <w:rPr>
                <w:sz w:val="20"/>
                <w:szCs w:val="20"/>
                <w:color w:val="auto"/>
              </w:rPr>
            </w:pPr>
            <w:r>
              <w:rPr>
                <w:rFonts w:ascii="Arial" w:cs="Arial" w:eastAsia="Arial" w:hAnsi="Arial"/>
                <w:sz w:val="18"/>
                <w:szCs w:val="18"/>
                <w:color w:val="auto"/>
              </w:rPr>
              <w:t>Item 2.</w:t>
            </w:r>
          </w:p>
        </w:tc>
        <w:tc>
          <w:tcPr>
            <w:tcW w:w="4360" w:type="dxa"/>
            <w:vAlign w:val="bottom"/>
            <w:tcBorders>
              <w:bottom w:val="single" w:sz="8" w:color="0000FF"/>
            </w:tcBorders>
            <w:gridSpan w:val="14"/>
          </w:tcPr>
          <w:p>
            <w:pPr>
              <w:spacing w:after="0"/>
              <w:rPr>
                <w:sz w:val="20"/>
                <w:szCs w:val="20"/>
                <w:color w:val="auto"/>
              </w:rPr>
            </w:pPr>
            <w:r>
              <w:rPr>
                <w:rFonts w:ascii="Arial" w:cs="Arial" w:eastAsia="Arial" w:hAnsi="Arial"/>
                <w:sz w:val="18"/>
                <w:szCs w:val="18"/>
                <w:color w:val="0000FF"/>
                <w:w w:val="89"/>
              </w:rPr>
              <w:t>Unregistered Sales of Equity Securities and Use of Proceeds</w:t>
            </w:r>
          </w:p>
        </w:tc>
        <w:tc>
          <w:tcPr>
            <w:tcW w:w="4980" w:type="dxa"/>
            <w:vAlign w:val="bottom"/>
            <w:gridSpan w:val="3"/>
          </w:tcPr>
          <w:p>
            <w:pPr>
              <w:spacing w:after="0"/>
              <w:rPr>
                <w:sz w:val="18"/>
                <w:szCs w:val="18"/>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89"/>
              </w:rPr>
              <w:t>41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40" w:type="dxa"/>
            <w:vAlign w:val="bottom"/>
          </w:tcPr>
          <w:p>
            <w:pPr>
              <w:spacing w:after="0"/>
              <w:rPr>
                <w:sz w:val="20"/>
                <w:szCs w:val="20"/>
                <w:color w:val="auto"/>
              </w:rPr>
            </w:pPr>
            <w:r>
              <w:rPr>
                <w:rFonts w:ascii="Arial" w:cs="Arial" w:eastAsia="Arial" w:hAnsi="Arial"/>
                <w:sz w:val="18"/>
                <w:szCs w:val="18"/>
                <w:color w:val="auto"/>
              </w:rPr>
              <w:t>Item 5.</w:t>
            </w:r>
          </w:p>
        </w:tc>
        <w:tc>
          <w:tcPr>
            <w:tcW w:w="1320" w:type="dxa"/>
            <w:vAlign w:val="bottom"/>
            <w:tcBorders>
              <w:bottom w:val="single" w:sz="8" w:color="0000FF"/>
            </w:tcBorders>
            <w:gridSpan w:val="3"/>
          </w:tcPr>
          <w:p>
            <w:pPr>
              <w:spacing w:after="0"/>
              <w:rPr>
                <w:sz w:val="20"/>
                <w:szCs w:val="20"/>
                <w:color w:val="auto"/>
              </w:rPr>
            </w:pPr>
            <w:r>
              <w:rPr>
                <w:rFonts w:ascii="Arial" w:cs="Arial" w:eastAsia="Arial" w:hAnsi="Arial"/>
                <w:sz w:val="18"/>
                <w:szCs w:val="18"/>
                <w:color w:val="0000FF"/>
                <w:w w:val="92"/>
              </w:rPr>
              <w:t>Other Information</w:t>
            </w:r>
          </w:p>
        </w:tc>
        <w:tc>
          <w:tcPr>
            <w:tcW w:w="8020" w:type="dxa"/>
            <w:vAlign w:val="bottom"/>
            <w:gridSpan w:val="14"/>
          </w:tcPr>
          <w:p>
            <w:pPr>
              <w:spacing w:after="0"/>
              <w:rPr>
                <w:sz w:val="19"/>
                <w:szCs w:val="19"/>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89"/>
              </w:rPr>
              <w:t>41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40" w:type="dxa"/>
            <w:vAlign w:val="bottom"/>
          </w:tcPr>
          <w:p>
            <w:pPr>
              <w:spacing w:after="0"/>
              <w:rPr>
                <w:sz w:val="20"/>
                <w:szCs w:val="20"/>
                <w:color w:val="auto"/>
              </w:rPr>
            </w:pPr>
            <w:r>
              <w:rPr>
                <w:rFonts w:ascii="Arial" w:cs="Arial" w:eastAsia="Arial" w:hAnsi="Arial"/>
                <w:sz w:val="18"/>
                <w:szCs w:val="18"/>
                <w:color w:val="auto"/>
              </w:rPr>
              <w:t>Item 6.</w:t>
            </w:r>
          </w:p>
        </w:tc>
        <w:tc>
          <w:tcPr>
            <w:tcW w:w="9340" w:type="dxa"/>
            <w:vAlign w:val="bottom"/>
            <w:gridSpan w:val="17"/>
          </w:tcPr>
          <w:p>
            <w:pPr>
              <w:spacing w:after="0"/>
              <w:rPr>
                <w:sz w:val="20"/>
                <w:szCs w:val="20"/>
                <w:color w:val="auto"/>
              </w:rPr>
            </w:pPr>
            <w:r>
              <w:rPr>
                <w:rFonts w:ascii="Arial" w:cs="Arial" w:eastAsia="Arial" w:hAnsi="Arial"/>
                <w:sz w:val="18"/>
                <w:szCs w:val="18"/>
                <w:color w:val="0000FF"/>
              </w:rPr>
              <w:t>Exhibits</w:t>
            </w:r>
          </w:p>
        </w:tc>
        <w:tc>
          <w:tcPr>
            <w:tcW w:w="720" w:type="dxa"/>
            <w:vAlign w:val="bottom"/>
          </w:tcPr>
          <w:p>
            <w:pPr>
              <w:jc w:val="center"/>
              <w:spacing w:after="0"/>
              <w:rPr>
                <w:sz w:val="20"/>
                <w:szCs w:val="20"/>
                <w:color w:val="auto"/>
              </w:rPr>
            </w:pPr>
            <w:r>
              <w:rPr>
                <w:rFonts w:ascii="Arial" w:cs="Arial" w:eastAsia="Arial" w:hAnsi="Arial"/>
                <w:sz w:val="18"/>
                <w:szCs w:val="18"/>
                <w:color w:val="auto"/>
                <w:w w:val="89"/>
              </w:rPr>
              <w:t>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ind w:left="960"/>
        <w:spacing w:after="0"/>
        <w:rPr>
          <w:sz w:val="20"/>
          <w:szCs w:val="20"/>
          <w:color w:val="auto"/>
        </w:rPr>
      </w:pPr>
      <w:r>
        <w:rPr>
          <w:rFonts w:ascii="Arial" w:cs="Arial" w:eastAsia="Arial" w:hAnsi="Arial"/>
          <w:sz w:val="18"/>
          <w:szCs w:val="18"/>
          <w:u w:val="single" w:color="auto"/>
          <w:color w:val="0000FF"/>
        </w:rPr>
        <w:t>Exhibit Index</w:t>
      </w:r>
    </w:p>
    <w:p>
      <w:pPr>
        <w:spacing w:after="0" w:line="36" w:lineRule="exact"/>
        <w:rPr>
          <w:sz w:val="20"/>
          <w:szCs w:val="20"/>
          <w:color w:val="auto"/>
        </w:rPr>
      </w:pPr>
    </w:p>
    <w:p>
      <w:pPr>
        <w:ind w:left="960"/>
        <w:spacing w:after="0"/>
        <w:rPr>
          <w:sz w:val="20"/>
          <w:szCs w:val="20"/>
          <w:color w:val="auto"/>
        </w:rPr>
      </w:pPr>
      <w:r>
        <w:rPr>
          <w:rFonts w:ascii="Arial" w:cs="Arial" w:eastAsia="Arial" w:hAnsi="Arial"/>
          <w:sz w:val="18"/>
          <w:szCs w:val="18"/>
          <w:u w:val="single" w:color="auto"/>
          <w:color w:val="0000FF"/>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619125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108" w:right="55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Fiserv, Inc.</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Consolidated Statements of Income</w:t>
      </w:r>
    </w:p>
    <w:p>
      <w:pPr>
        <w:spacing w:after="0" w:line="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(In millions, except per share data)</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(Unaudited)</w:t>
      </w:r>
    </w:p>
    <w:p>
      <w:pPr>
        <w:spacing w:after="0" w:line="235" w:lineRule="exact"/>
        <w:rPr>
          <w:sz w:val="20"/>
          <w:szCs w:val="20"/>
          <w:color w:val="auto"/>
        </w:rPr>
      </w:pPr>
    </w:p>
    <w:tbl>
      <w:tblPr>
        <w:tblLayout w:type="fixed"/>
        <w:tblInd w:w="180" w:type="dxa"/>
        <w:tblCellMar>
          <w:top w:w="0" w:type="dxa"/>
          <w:left w:w="0" w:type="dxa"/>
          <w:bottom w:w="0" w:type="dxa"/>
          <w:right w:w="0" w:type="dxa"/>
        </w:tblCellMar>
      </w:tblPr>
      <w:tr>
        <w:trPr>
          <w:trHeight w:val="184"/>
        </w:trPr>
        <w:tc>
          <w:tcPr>
            <w:tcW w:w="5300" w:type="dxa"/>
            <w:vAlign w:val="bottom"/>
          </w:tcPr>
          <w:p>
            <w:pPr>
              <w:spacing w:after="0"/>
              <w:rPr>
                <w:sz w:val="16"/>
                <w:szCs w:val="16"/>
                <w:color w:val="auto"/>
              </w:rPr>
            </w:pPr>
          </w:p>
        </w:tc>
        <w:tc>
          <w:tcPr>
            <w:tcW w:w="2260" w:type="dxa"/>
            <w:vAlign w:val="bottom"/>
            <w:gridSpan w:val="4"/>
          </w:tcPr>
          <w:p>
            <w:pPr>
              <w:jc w:val="right"/>
              <w:ind w:right="160"/>
              <w:spacing w:after="0"/>
              <w:rPr>
                <w:sz w:val="20"/>
                <w:szCs w:val="20"/>
                <w:color w:val="auto"/>
              </w:rPr>
            </w:pPr>
            <w:r>
              <w:rPr>
                <w:rFonts w:ascii="Arial" w:cs="Arial" w:eastAsia="Arial" w:hAnsi="Arial"/>
                <w:sz w:val="16"/>
                <w:szCs w:val="16"/>
                <w:b w:val="1"/>
                <w:bCs w:val="1"/>
                <w:color w:val="auto"/>
              </w:rPr>
              <w:t>Three Months Ended</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40" w:type="dxa"/>
            <w:vAlign w:val="bottom"/>
            <w:gridSpan w:val="4"/>
          </w:tcPr>
          <w:p>
            <w:pPr>
              <w:jc w:val="right"/>
              <w:ind w:right="639"/>
              <w:spacing w:after="0"/>
              <w:rPr>
                <w:sz w:val="20"/>
                <w:szCs w:val="20"/>
                <w:color w:val="auto"/>
              </w:rPr>
            </w:pPr>
            <w:r>
              <w:rPr>
                <w:rFonts w:ascii="Arial" w:cs="Arial" w:eastAsia="Arial" w:hAnsi="Arial"/>
                <w:sz w:val="16"/>
                <w:szCs w:val="16"/>
                <w:b w:val="1"/>
                <w:bCs w:val="1"/>
                <w:color w:val="auto"/>
              </w:rPr>
              <w:t>Six Months Ended</w:t>
            </w:r>
          </w:p>
        </w:tc>
        <w:tc>
          <w:tcPr>
            <w:tcW w:w="0" w:type="dxa"/>
            <w:vAlign w:val="bottom"/>
          </w:tcPr>
          <w:p>
            <w:pPr>
              <w:spacing w:after="0"/>
              <w:rPr>
                <w:sz w:val="1"/>
                <w:szCs w:val="1"/>
                <w:color w:val="auto"/>
              </w:rPr>
            </w:pPr>
          </w:p>
        </w:tc>
      </w:tr>
      <w:tr>
        <w:trPr>
          <w:trHeight w:val="213"/>
        </w:trPr>
        <w:tc>
          <w:tcPr>
            <w:tcW w:w="5300" w:type="dxa"/>
            <w:vAlign w:val="bottom"/>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3"/>
          </w:tcPr>
          <w:p>
            <w:pPr>
              <w:jc w:val="right"/>
              <w:ind w:right="600"/>
              <w:spacing w:after="0"/>
              <w:rPr>
                <w:sz w:val="20"/>
                <w:szCs w:val="20"/>
                <w:color w:val="auto"/>
              </w:rPr>
            </w:pPr>
            <w:r>
              <w:rPr>
                <w:rFonts w:ascii="Arial" w:cs="Arial" w:eastAsia="Arial" w:hAnsi="Arial"/>
                <w:sz w:val="16"/>
                <w:szCs w:val="16"/>
                <w:b w:val="1"/>
                <w:bCs w:val="1"/>
                <w:color w:val="auto"/>
              </w:rPr>
              <w:t>June 30,</w:t>
            </w:r>
          </w:p>
        </w:tc>
        <w:tc>
          <w:tcPr>
            <w:tcW w:w="4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6"/>
                <w:szCs w:val="16"/>
                <w:b w:val="1"/>
                <w:bCs w:val="1"/>
                <w:color w:val="auto"/>
              </w:rPr>
              <w:t>June 30,</w:t>
            </w:r>
          </w:p>
        </w:tc>
        <w:tc>
          <w:tcPr>
            <w:tcW w:w="9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2023</w:t>
            </w:r>
          </w:p>
        </w:tc>
        <w:tc>
          <w:tcPr>
            <w:tcW w:w="46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2022</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ind w:right="419"/>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jc w:val="right"/>
              <w:ind w:right="419"/>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199"/>
        </w:trPr>
        <w:tc>
          <w:tcPr>
            <w:tcW w:w="53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84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00" w:type="dxa"/>
            <w:vAlign w:val="bottom"/>
          </w:tcPr>
          <w:p>
            <w:pPr>
              <w:ind w:left="360"/>
              <w:spacing w:after="0" w:line="216" w:lineRule="exact"/>
              <w:rPr>
                <w:sz w:val="20"/>
                <w:szCs w:val="20"/>
                <w:color w:val="auto"/>
              </w:rPr>
            </w:pPr>
            <w:r>
              <w:rPr>
                <w:rFonts w:ascii="Arial" w:cs="Arial" w:eastAsia="Arial" w:hAnsi="Arial"/>
                <w:sz w:val="16"/>
                <w:szCs w:val="16"/>
                <w:color w:val="auto"/>
              </w:rPr>
              <w:t xml:space="preserve">Processing and services </w:t>
            </w:r>
            <w:r>
              <w:rPr>
                <w:rFonts w:ascii="Arial" w:cs="Arial" w:eastAsia="Arial" w:hAnsi="Arial"/>
                <w:sz w:val="21"/>
                <w:szCs w:val="21"/>
                <w:color w:val="auto"/>
                <w:vertAlign w:val="superscript"/>
              </w:rPr>
              <w:t>(1)</w:t>
            </w:r>
          </w:p>
        </w:tc>
        <w:tc>
          <w:tcPr>
            <w:tcW w:w="840" w:type="dxa"/>
            <w:vAlign w:val="bottom"/>
          </w:tcPr>
          <w:p>
            <w:pPr>
              <w:jc w:val="right"/>
              <w:ind w:right="659"/>
              <w:spacing w:after="0"/>
              <w:rPr>
                <w:sz w:val="20"/>
                <w:szCs w:val="20"/>
                <w:color w:val="auto"/>
              </w:rPr>
            </w:pPr>
            <w:r>
              <w:rPr>
                <w:rFonts w:ascii="Arial" w:cs="Arial" w:eastAsia="Arial" w:hAnsi="Arial"/>
                <w:sz w:val="16"/>
                <w:szCs w:val="16"/>
                <w:color w:val="auto"/>
                <w:w w:val="89"/>
              </w:rPr>
              <w:t>$</w:t>
            </w:r>
          </w:p>
        </w:tc>
        <w:tc>
          <w:tcPr>
            <w:tcW w:w="460" w:type="dxa"/>
            <w:vAlign w:val="bottom"/>
          </w:tcPr>
          <w:p>
            <w:pPr>
              <w:jc w:val="right"/>
              <w:spacing w:after="0"/>
              <w:rPr>
                <w:sz w:val="20"/>
                <w:szCs w:val="20"/>
                <w:color w:val="auto"/>
              </w:rPr>
            </w:pPr>
            <w:r>
              <w:rPr>
                <w:rFonts w:ascii="Arial" w:cs="Arial" w:eastAsia="Arial" w:hAnsi="Arial"/>
                <w:sz w:val="16"/>
                <w:szCs w:val="16"/>
                <w:color w:val="auto"/>
                <w:w w:val="94"/>
              </w:rPr>
              <w:t>3,924</w:t>
            </w:r>
          </w:p>
        </w:tc>
        <w:tc>
          <w:tcPr>
            <w:tcW w:w="960" w:type="dxa"/>
            <w:vAlign w:val="bottom"/>
            <w:gridSpan w:val="2"/>
          </w:tcPr>
          <w:p>
            <w:pPr>
              <w:jc w:val="right"/>
              <w:ind w:right="740"/>
              <w:spacing w:after="0"/>
              <w:rPr>
                <w:sz w:val="20"/>
                <w:szCs w:val="20"/>
                <w:color w:val="auto"/>
              </w:rPr>
            </w:pPr>
            <w:r>
              <w:rPr>
                <w:rFonts w:ascii="Arial" w:cs="Arial" w:eastAsia="Arial" w:hAnsi="Arial"/>
                <w:sz w:val="16"/>
                <w:szCs w:val="16"/>
                <w:color w:val="auto"/>
              </w:rPr>
              <w:t>$</w:t>
            </w:r>
          </w:p>
        </w:tc>
        <w:tc>
          <w:tcPr>
            <w:tcW w:w="480" w:type="dxa"/>
            <w:vAlign w:val="bottom"/>
          </w:tcPr>
          <w:p>
            <w:pPr>
              <w:jc w:val="right"/>
              <w:spacing w:after="0"/>
              <w:rPr>
                <w:sz w:val="20"/>
                <w:szCs w:val="20"/>
                <w:color w:val="auto"/>
              </w:rPr>
            </w:pPr>
            <w:r>
              <w:rPr>
                <w:rFonts w:ascii="Arial" w:cs="Arial" w:eastAsia="Arial" w:hAnsi="Arial"/>
                <w:sz w:val="16"/>
                <w:szCs w:val="16"/>
                <w:color w:val="auto"/>
                <w:w w:val="94"/>
              </w:rPr>
              <w:t>3,696</w:t>
            </w:r>
          </w:p>
        </w:tc>
        <w:tc>
          <w:tcPr>
            <w:tcW w:w="4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7,597</w:t>
            </w:r>
          </w:p>
        </w:tc>
        <w:tc>
          <w:tcPr>
            <w:tcW w:w="4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7,060</w:t>
            </w:r>
          </w:p>
        </w:tc>
        <w:tc>
          <w:tcPr>
            <w:tcW w:w="0" w:type="dxa"/>
            <w:vAlign w:val="bottom"/>
          </w:tcPr>
          <w:p>
            <w:pPr>
              <w:spacing w:after="0"/>
              <w:rPr>
                <w:sz w:val="1"/>
                <w:szCs w:val="1"/>
                <w:color w:val="auto"/>
              </w:rPr>
            </w:pPr>
          </w:p>
        </w:tc>
      </w:tr>
      <w:tr>
        <w:trPr>
          <w:trHeight w:val="216"/>
        </w:trPr>
        <w:tc>
          <w:tcPr>
            <w:tcW w:w="53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Product</w:t>
            </w:r>
          </w:p>
        </w:tc>
        <w:tc>
          <w:tcPr>
            <w:tcW w:w="84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832</w:t>
            </w:r>
          </w:p>
        </w:tc>
        <w:tc>
          <w:tcPr>
            <w:tcW w:w="12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754</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1,706</w:t>
            </w: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1,528</w:t>
            </w:r>
          </w:p>
        </w:tc>
        <w:tc>
          <w:tcPr>
            <w:tcW w:w="0" w:type="dxa"/>
            <w:vAlign w:val="bottom"/>
          </w:tcPr>
          <w:p>
            <w:pPr>
              <w:spacing w:after="0"/>
              <w:rPr>
                <w:sz w:val="1"/>
                <w:szCs w:val="1"/>
                <w:color w:val="auto"/>
              </w:rPr>
            </w:pPr>
          </w:p>
        </w:tc>
      </w:tr>
      <w:tr>
        <w:trPr>
          <w:trHeight w:val="210"/>
        </w:trPr>
        <w:tc>
          <w:tcPr>
            <w:tcW w:w="5300" w:type="dxa"/>
            <w:vAlign w:val="bottom"/>
          </w:tcPr>
          <w:p>
            <w:pPr>
              <w:ind w:left="680"/>
              <w:spacing w:after="0"/>
              <w:rPr>
                <w:sz w:val="20"/>
                <w:szCs w:val="20"/>
                <w:color w:val="auto"/>
              </w:rPr>
            </w:pPr>
            <w:r>
              <w:rPr>
                <w:rFonts w:ascii="Arial" w:cs="Arial" w:eastAsia="Arial" w:hAnsi="Arial"/>
                <w:sz w:val="16"/>
                <w:szCs w:val="16"/>
                <w:color w:val="auto"/>
              </w:rPr>
              <w:t>Total revenue</w:t>
            </w:r>
          </w:p>
        </w:tc>
        <w:tc>
          <w:tcPr>
            <w:tcW w:w="8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4"/>
              </w:rPr>
              <w:t>4,756</w:t>
            </w:r>
          </w:p>
        </w:tc>
        <w:tc>
          <w:tcPr>
            <w:tcW w:w="120" w:type="dxa"/>
            <w:vAlign w:val="bottom"/>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4"/>
              </w:rPr>
              <w:t>4,450</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9,303</w:t>
            </w: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8,588</w:t>
            </w:r>
          </w:p>
        </w:tc>
        <w:tc>
          <w:tcPr>
            <w:tcW w:w="0" w:type="dxa"/>
            <w:vAlign w:val="bottom"/>
          </w:tcPr>
          <w:p>
            <w:pPr>
              <w:spacing w:after="0"/>
              <w:rPr>
                <w:sz w:val="1"/>
                <w:szCs w:val="1"/>
                <w:color w:val="auto"/>
              </w:rPr>
            </w:pPr>
          </w:p>
        </w:tc>
      </w:tr>
      <w:tr>
        <w:trPr>
          <w:trHeight w:val="209"/>
        </w:trPr>
        <w:tc>
          <w:tcPr>
            <w:tcW w:w="5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Expenses:</w:t>
            </w:r>
          </w:p>
        </w:tc>
        <w:tc>
          <w:tcPr>
            <w:tcW w:w="8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300" w:type="dxa"/>
            <w:vAlign w:val="bottom"/>
          </w:tcPr>
          <w:p>
            <w:pPr>
              <w:ind w:left="360"/>
              <w:spacing w:after="0"/>
              <w:rPr>
                <w:sz w:val="20"/>
                <w:szCs w:val="20"/>
                <w:color w:val="auto"/>
              </w:rPr>
            </w:pPr>
            <w:r>
              <w:rPr>
                <w:rFonts w:ascii="Arial" w:cs="Arial" w:eastAsia="Arial" w:hAnsi="Arial"/>
                <w:sz w:val="16"/>
                <w:szCs w:val="16"/>
                <w:color w:val="auto"/>
              </w:rPr>
              <w:t>Cost of processing and services</w:t>
            </w:r>
          </w:p>
        </w:tc>
        <w:tc>
          <w:tcPr>
            <w:tcW w:w="8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w w:val="94"/>
              </w:rPr>
              <w:t>1,351</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w w:val="94"/>
              </w:rPr>
              <w:t>1,502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2,756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2,938</w:t>
            </w:r>
          </w:p>
        </w:tc>
        <w:tc>
          <w:tcPr>
            <w:tcW w:w="0" w:type="dxa"/>
            <w:vAlign w:val="bottom"/>
          </w:tcPr>
          <w:p>
            <w:pPr>
              <w:spacing w:after="0"/>
              <w:rPr>
                <w:sz w:val="1"/>
                <w:szCs w:val="1"/>
                <w:color w:val="auto"/>
              </w:rPr>
            </w:pPr>
          </w:p>
        </w:tc>
      </w:tr>
      <w:tr>
        <w:trPr>
          <w:trHeight w:val="219"/>
        </w:trPr>
        <w:tc>
          <w:tcPr>
            <w:tcW w:w="53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Cost of product</w:t>
            </w:r>
          </w:p>
        </w:tc>
        <w:tc>
          <w:tcPr>
            <w:tcW w:w="84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578</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1,078</w:t>
            </w:r>
          </w:p>
        </w:tc>
        <w:tc>
          <w:tcPr>
            <w:tcW w:w="0" w:type="dxa"/>
            <w:vAlign w:val="bottom"/>
          </w:tcPr>
          <w:p>
            <w:pPr>
              <w:spacing w:after="0"/>
              <w:rPr>
                <w:sz w:val="1"/>
                <w:szCs w:val="1"/>
                <w:color w:val="auto"/>
              </w:rPr>
            </w:pPr>
          </w:p>
        </w:tc>
      </w:tr>
      <w:tr>
        <w:trPr>
          <w:trHeight w:val="213"/>
        </w:trPr>
        <w:tc>
          <w:tcPr>
            <w:tcW w:w="5300" w:type="dxa"/>
            <w:vAlign w:val="bottom"/>
          </w:tcPr>
          <w:p>
            <w:pPr>
              <w:ind w:left="360"/>
              <w:spacing w:after="0"/>
              <w:rPr>
                <w:sz w:val="20"/>
                <w:szCs w:val="20"/>
                <w:color w:val="auto"/>
              </w:rPr>
            </w:pPr>
            <w:r>
              <w:rPr>
                <w:rFonts w:ascii="Arial" w:cs="Arial" w:eastAsia="Arial" w:hAnsi="Arial"/>
                <w:sz w:val="16"/>
                <w:szCs w:val="16"/>
                <w:color w:val="auto"/>
              </w:rPr>
              <w:t>Selling, general and administrative</w:t>
            </w:r>
          </w:p>
        </w:tc>
        <w:tc>
          <w:tcPr>
            <w:tcW w:w="8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w w:val="94"/>
              </w:rPr>
              <w:t>1,696</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w w:val="94"/>
              </w:rPr>
              <w:t>1,546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3,300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3,013</w:t>
            </w:r>
          </w:p>
        </w:tc>
        <w:tc>
          <w:tcPr>
            <w:tcW w:w="0" w:type="dxa"/>
            <w:vAlign w:val="bottom"/>
          </w:tcPr>
          <w:p>
            <w:pPr>
              <w:spacing w:after="0"/>
              <w:rPr>
                <w:sz w:val="1"/>
                <w:szCs w:val="1"/>
                <w:color w:val="auto"/>
              </w:rPr>
            </w:pPr>
          </w:p>
        </w:tc>
      </w:tr>
      <w:tr>
        <w:trPr>
          <w:trHeight w:val="219"/>
        </w:trPr>
        <w:tc>
          <w:tcPr>
            <w:tcW w:w="53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Net loss (gain) on sale of businesses and other assets</w:t>
            </w:r>
          </w:p>
        </w:tc>
        <w:tc>
          <w:tcPr>
            <w:tcW w:w="84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(147)</w:t>
            </w:r>
          </w:p>
        </w:tc>
        <w:tc>
          <w:tcPr>
            <w:tcW w:w="0" w:type="dxa"/>
            <w:vAlign w:val="bottom"/>
          </w:tcPr>
          <w:p>
            <w:pPr>
              <w:spacing w:after="0"/>
              <w:rPr>
                <w:sz w:val="1"/>
                <w:szCs w:val="1"/>
                <w:color w:val="auto"/>
              </w:rPr>
            </w:pPr>
          </w:p>
        </w:tc>
      </w:tr>
      <w:tr>
        <w:trPr>
          <w:trHeight w:val="207"/>
        </w:trPr>
        <w:tc>
          <w:tcPr>
            <w:tcW w:w="5300" w:type="dxa"/>
            <w:vAlign w:val="bottom"/>
            <w:tcBorders>
              <w:bottom w:val="single" w:sz="8" w:color="CCEEFF"/>
            </w:tcBorders>
          </w:tcPr>
          <w:p>
            <w:pPr>
              <w:ind w:left="680"/>
              <w:spacing w:after="0"/>
              <w:rPr>
                <w:sz w:val="20"/>
                <w:szCs w:val="20"/>
                <w:color w:val="auto"/>
              </w:rPr>
            </w:pPr>
            <w:r>
              <w:rPr>
                <w:rFonts w:ascii="Arial" w:cs="Arial" w:eastAsia="Arial" w:hAnsi="Arial"/>
                <w:sz w:val="16"/>
                <w:szCs w:val="16"/>
                <w:color w:val="auto"/>
              </w:rPr>
              <w:t>Total expenses</w:t>
            </w:r>
          </w:p>
        </w:tc>
        <w:tc>
          <w:tcPr>
            <w:tcW w:w="84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4"/>
              </w:rPr>
              <w:t>3,625</w:t>
            </w:r>
          </w:p>
        </w:tc>
        <w:tc>
          <w:tcPr>
            <w:tcW w:w="120" w:type="dxa"/>
            <w:vAlign w:val="bottom"/>
            <w:tcBorders>
              <w:bottom w:val="single" w:sz="8" w:color="CCEEFF"/>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4"/>
              </w:rPr>
              <w:t>3,590</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7,238</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6,882</w:t>
            </w:r>
          </w:p>
        </w:tc>
        <w:tc>
          <w:tcPr>
            <w:tcW w:w="0" w:type="dxa"/>
            <w:vAlign w:val="bottom"/>
          </w:tcPr>
          <w:p>
            <w:pPr>
              <w:spacing w:after="0"/>
              <w:rPr>
                <w:sz w:val="1"/>
                <w:szCs w:val="1"/>
                <w:color w:val="auto"/>
              </w:rPr>
            </w:pPr>
          </w:p>
        </w:tc>
      </w:tr>
      <w:tr>
        <w:trPr>
          <w:trHeight w:val="213"/>
        </w:trPr>
        <w:tc>
          <w:tcPr>
            <w:tcW w:w="5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income</w:t>
            </w:r>
          </w:p>
        </w:tc>
        <w:tc>
          <w:tcPr>
            <w:tcW w:w="8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4"/>
              </w:rPr>
              <w:t>1,131</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2,065</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1,706</w:t>
            </w:r>
          </w:p>
        </w:tc>
        <w:tc>
          <w:tcPr>
            <w:tcW w:w="0" w:type="dxa"/>
            <w:vAlign w:val="bottom"/>
          </w:tcPr>
          <w:p>
            <w:pPr>
              <w:spacing w:after="0"/>
              <w:rPr>
                <w:sz w:val="1"/>
                <w:szCs w:val="1"/>
                <w:color w:val="auto"/>
              </w:rPr>
            </w:pPr>
          </w:p>
        </w:tc>
      </w:tr>
      <w:tr>
        <w:trPr>
          <w:trHeight w:val="213"/>
        </w:trPr>
        <w:tc>
          <w:tcPr>
            <w:tcW w:w="5300" w:type="dxa"/>
            <w:vAlign w:val="bottom"/>
          </w:tcPr>
          <w:p>
            <w:pPr>
              <w:ind w:left="20"/>
              <w:spacing w:after="0"/>
              <w:rPr>
                <w:sz w:val="20"/>
                <w:szCs w:val="20"/>
                <w:color w:val="auto"/>
              </w:rPr>
            </w:pPr>
            <w:r>
              <w:rPr>
                <w:rFonts w:ascii="Arial" w:cs="Arial" w:eastAsia="Arial" w:hAnsi="Arial"/>
                <w:sz w:val="16"/>
                <w:szCs w:val="16"/>
                <w:color w:val="auto"/>
              </w:rPr>
              <w:t>Interest expense, net</w:t>
            </w:r>
          </w:p>
        </w:tc>
        <w:tc>
          <w:tcPr>
            <w:tcW w:w="8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(232)</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(176)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(434)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(344)</w:t>
            </w:r>
          </w:p>
        </w:tc>
        <w:tc>
          <w:tcPr>
            <w:tcW w:w="0" w:type="dxa"/>
            <w:vAlign w:val="bottom"/>
          </w:tcPr>
          <w:p>
            <w:pPr>
              <w:spacing w:after="0"/>
              <w:rPr>
                <w:sz w:val="1"/>
                <w:szCs w:val="1"/>
                <w:color w:val="auto"/>
              </w:rPr>
            </w:pPr>
          </w:p>
        </w:tc>
      </w:tr>
      <w:tr>
        <w:trPr>
          <w:trHeight w:val="219"/>
        </w:trPr>
        <w:tc>
          <w:tcPr>
            <w:tcW w:w="5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expense, net</w:t>
            </w:r>
          </w:p>
        </w:tc>
        <w:tc>
          <w:tcPr>
            <w:tcW w:w="84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2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w:t>
            </w:r>
          </w:p>
        </w:tc>
        <w:tc>
          <w:tcPr>
            <w:tcW w:w="0" w:type="dxa"/>
            <w:vAlign w:val="bottom"/>
          </w:tcPr>
          <w:p>
            <w:pPr>
              <w:spacing w:after="0"/>
              <w:rPr>
                <w:sz w:val="1"/>
                <w:szCs w:val="1"/>
                <w:color w:val="auto"/>
              </w:rPr>
            </w:pPr>
          </w:p>
        </w:tc>
      </w:tr>
      <w:tr>
        <w:trPr>
          <w:trHeight w:val="146"/>
        </w:trPr>
        <w:tc>
          <w:tcPr>
            <w:tcW w:w="5300" w:type="dxa"/>
            <w:vAlign w:val="bottom"/>
          </w:tcPr>
          <w:p>
            <w:pPr>
              <w:ind w:left="20"/>
              <w:spacing w:after="0" w:line="146" w:lineRule="exact"/>
              <w:rPr>
                <w:sz w:val="20"/>
                <w:szCs w:val="20"/>
                <w:color w:val="auto"/>
              </w:rPr>
            </w:pPr>
            <w:r>
              <w:rPr>
                <w:rFonts w:ascii="Arial" w:cs="Arial" w:eastAsia="Arial" w:hAnsi="Arial"/>
                <w:sz w:val="16"/>
                <w:szCs w:val="16"/>
                <w:color w:val="auto"/>
              </w:rPr>
              <w:t>Income before income taxes and (loss) income from investments in</w:t>
            </w:r>
          </w:p>
        </w:tc>
        <w:tc>
          <w:tcPr>
            <w:tcW w:w="840" w:type="dxa"/>
            <w:vAlign w:val="bottom"/>
          </w:tcPr>
          <w:p>
            <w:pPr>
              <w:spacing w:after="0"/>
              <w:rPr>
                <w:sz w:val="12"/>
                <w:szCs w:val="12"/>
                <w:color w:val="auto"/>
              </w:rPr>
            </w:pPr>
          </w:p>
        </w:tc>
        <w:tc>
          <w:tcPr>
            <w:tcW w:w="460" w:type="dxa"/>
            <w:vAlign w:val="bottom"/>
            <w:vMerge w:val="restart"/>
          </w:tcPr>
          <w:p>
            <w:pPr>
              <w:jc w:val="right"/>
              <w:spacing w:after="0"/>
              <w:rPr>
                <w:sz w:val="20"/>
                <w:szCs w:val="20"/>
                <w:color w:val="auto"/>
              </w:rPr>
            </w:pPr>
            <w:r>
              <w:rPr>
                <w:rFonts w:ascii="Arial" w:cs="Arial" w:eastAsia="Arial" w:hAnsi="Arial"/>
                <w:sz w:val="16"/>
                <w:szCs w:val="16"/>
                <w:color w:val="auto"/>
              </w:rPr>
              <w:t>873</w:t>
            </w: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80" w:type="dxa"/>
            <w:vAlign w:val="bottom"/>
            <w:vMerge w:val="restart"/>
          </w:tcPr>
          <w:p>
            <w:pPr>
              <w:jc w:val="right"/>
              <w:spacing w:after="0"/>
              <w:rPr>
                <w:sz w:val="20"/>
                <w:szCs w:val="20"/>
                <w:color w:val="auto"/>
              </w:rPr>
            </w:pPr>
            <w:r>
              <w:rPr>
                <w:rFonts w:ascii="Arial" w:cs="Arial" w:eastAsia="Arial" w:hAnsi="Arial"/>
                <w:sz w:val="16"/>
                <w:szCs w:val="16"/>
                <w:color w:val="auto"/>
              </w:rPr>
              <w:t>618</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1,585</w:t>
            </w: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1,292</w:t>
            </w:r>
          </w:p>
        </w:tc>
        <w:tc>
          <w:tcPr>
            <w:tcW w:w="0" w:type="dxa"/>
            <w:vAlign w:val="bottom"/>
          </w:tcPr>
          <w:p>
            <w:pPr>
              <w:spacing w:after="0"/>
              <w:rPr>
                <w:sz w:val="1"/>
                <w:szCs w:val="1"/>
                <w:color w:val="auto"/>
              </w:rPr>
            </w:pPr>
          </w:p>
        </w:tc>
      </w:tr>
      <w:tr>
        <w:trPr>
          <w:trHeight w:val="209"/>
        </w:trPr>
        <w:tc>
          <w:tcPr>
            <w:tcW w:w="5300" w:type="dxa"/>
            <w:vAlign w:val="bottom"/>
          </w:tcPr>
          <w:p>
            <w:pPr>
              <w:ind w:left="180"/>
              <w:spacing w:after="0"/>
              <w:rPr>
                <w:sz w:val="20"/>
                <w:szCs w:val="20"/>
                <w:color w:val="auto"/>
              </w:rPr>
            </w:pPr>
            <w:r>
              <w:rPr>
                <w:rFonts w:ascii="Arial" w:cs="Arial" w:eastAsia="Arial" w:hAnsi="Arial"/>
                <w:sz w:val="16"/>
                <w:szCs w:val="16"/>
                <w:color w:val="auto"/>
              </w:rPr>
              <w:t>unconsolidated affiliates</w:t>
            </w:r>
          </w:p>
        </w:tc>
        <w:tc>
          <w:tcPr>
            <w:tcW w:w="840" w:type="dxa"/>
            <w:vAlign w:val="bottom"/>
          </w:tcPr>
          <w:p>
            <w:pPr>
              <w:spacing w:after="0"/>
              <w:rPr>
                <w:sz w:val="18"/>
                <w:szCs w:val="18"/>
                <w:color w:val="auto"/>
              </w:rPr>
            </w:pPr>
          </w:p>
        </w:tc>
        <w:tc>
          <w:tcPr>
            <w:tcW w:w="4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provision</w:t>
            </w:r>
          </w:p>
        </w:tc>
        <w:tc>
          <w:tcPr>
            <w:tcW w:w="84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(235)</w:t>
            </w:r>
          </w:p>
        </w:tc>
        <w:tc>
          <w:tcPr>
            <w:tcW w:w="0" w:type="dxa"/>
            <w:vAlign w:val="bottom"/>
          </w:tcPr>
          <w:p>
            <w:pPr>
              <w:spacing w:after="0"/>
              <w:rPr>
                <w:sz w:val="1"/>
                <w:szCs w:val="1"/>
                <w:color w:val="auto"/>
              </w:rPr>
            </w:pPr>
          </w:p>
        </w:tc>
      </w:tr>
      <w:tr>
        <w:trPr>
          <w:trHeight w:val="216"/>
        </w:trPr>
        <w:tc>
          <w:tcPr>
            <w:tcW w:w="5300" w:type="dxa"/>
            <w:vAlign w:val="bottom"/>
          </w:tcPr>
          <w:p>
            <w:pPr>
              <w:ind w:left="20"/>
              <w:spacing w:after="0"/>
              <w:rPr>
                <w:sz w:val="20"/>
                <w:szCs w:val="20"/>
                <w:color w:val="auto"/>
              </w:rPr>
            </w:pPr>
            <w:r>
              <w:rPr>
                <w:rFonts w:ascii="Arial" w:cs="Arial" w:eastAsia="Arial" w:hAnsi="Arial"/>
                <w:sz w:val="16"/>
                <w:szCs w:val="16"/>
                <w:color w:val="auto"/>
              </w:rPr>
              <w:t>(Loss) income from investments in unconsolidated affiliates</w:t>
            </w:r>
          </w:p>
        </w:tc>
        <w:tc>
          <w:tcPr>
            <w:tcW w:w="8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234</w:t>
            </w:r>
          </w:p>
        </w:tc>
        <w:tc>
          <w:tcPr>
            <w:tcW w:w="0" w:type="dxa"/>
            <w:vAlign w:val="bottom"/>
          </w:tcPr>
          <w:p>
            <w:pPr>
              <w:spacing w:after="0"/>
              <w:rPr>
                <w:sz w:val="1"/>
                <w:szCs w:val="1"/>
                <w:color w:val="auto"/>
              </w:rPr>
            </w:pPr>
          </w:p>
        </w:tc>
      </w:tr>
      <w:tr>
        <w:trPr>
          <w:trHeight w:val="210"/>
        </w:trPr>
        <w:tc>
          <w:tcPr>
            <w:tcW w:w="5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8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695</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1,271</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1,291</w:t>
            </w:r>
          </w:p>
        </w:tc>
        <w:tc>
          <w:tcPr>
            <w:tcW w:w="0" w:type="dxa"/>
            <w:vAlign w:val="bottom"/>
          </w:tcPr>
          <w:p>
            <w:pPr>
              <w:spacing w:after="0"/>
              <w:rPr>
                <w:sz w:val="1"/>
                <w:szCs w:val="1"/>
                <w:color w:val="auto"/>
              </w:rPr>
            </w:pPr>
          </w:p>
        </w:tc>
      </w:tr>
      <w:tr>
        <w:trPr>
          <w:trHeight w:val="166"/>
        </w:trPr>
        <w:tc>
          <w:tcPr>
            <w:tcW w:w="5300" w:type="dxa"/>
            <w:vAlign w:val="bottom"/>
          </w:tcPr>
          <w:p>
            <w:pPr>
              <w:ind w:left="20"/>
              <w:spacing w:after="0" w:line="166" w:lineRule="exact"/>
              <w:rPr>
                <w:sz w:val="20"/>
                <w:szCs w:val="20"/>
                <w:color w:val="auto"/>
              </w:rPr>
            </w:pPr>
            <w:r>
              <w:rPr>
                <w:rFonts w:ascii="Arial" w:cs="Arial" w:eastAsia="Arial" w:hAnsi="Arial"/>
                <w:sz w:val="16"/>
                <w:szCs w:val="16"/>
                <w:color w:val="auto"/>
              </w:rPr>
              <w:t>Less: net income attributable to noncontrolling interests and redeemable</w:t>
            </w:r>
          </w:p>
        </w:tc>
        <w:tc>
          <w:tcPr>
            <w:tcW w:w="840" w:type="dxa"/>
            <w:vAlign w:val="bottom"/>
          </w:tcPr>
          <w:p>
            <w:pPr>
              <w:spacing w:after="0"/>
              <w:rPr>
                <w:sz w:val="14"/>
                <w:szCs w:val="14"/>
                <w:color w:val="auto"/>
              </w:rPr>
            </w:pPr>
          </w:p>
        </w:tc>
        <w:tc>
          <w:tcPr>
            <w:tcW w:w="460" w:type="dxa"/>
            <w:vAlign w:val="bottom"/>
            <w:vMerge w:val="restart"/>
          </w:tcPr>
          <w:p>
            <w:pPr>
              <w:jc w:val="right"/>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80" w:type="dxa"/>
            <w:vAlign w:val="bottom"/>
            <w:vMerge w:val="restart"/>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09"/>
        </w:trPr>
        <w:tc>
          <w:tcPr>
            <w:tcW w:w="530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noncontrolling interests</w:t>
            </w:r>
          </w:p>
        </w:tc>
        <w:tc>
          <w:tcPr>
            <w:tcW w:w="8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5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attributable to Fiserv, Inc.</w:t>
            </w:r>
          </w:p>
        </w:tc>
        <w:tc>
          <w:tcPr>
            <w:tcW w:w="840" w:type="dxa"/>
            <w:vAlign w:val="bottom"/>
            <w:shd w:val="clear" w:color="auto" w:fill="CCEEFF"/>
          </w:tcPr>
          <w:p>
            <w:pPr>
              <w:jc w:val="right"/>
              <w:ind w:right="659"/>
              <w:spacing w:after="0"/>
              <w:rPr>
                <w:sz w:val="20"/>
                <w:szCs w:val="20"/>
                <w:color w:val="auto"/>
              </w:rPr>
            </w:pPr>
            <w:r>
              <w:rPr>
                <w:rFonts w:ascii="Arial" w:cs="Arial" w:eastAsia="Arial" w:hAnsi="Arial"/>
                <w:sz w:val="16"/>
                <w:szCs w:val="16"/>
                <w:color w:val="auto"/>
                <w:w w:val="8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683</w:t>
            </w:r>
          </w:p>
        </w:tc>
        <w:tc>
          <w:tcPr>
            <w:tcW w:w="960" w:type="dxa"/>
            <w:vAlign w:val="bottom"/>
            <w:gridSpan w:val="2"/>
            <w:shd w:val="clear" w:color="auto" w:fill="CCEEFF"/>
          </w:tcPr>
          <w:p>
            <w:pPr>
              <w:jc w:val="right"/>
              <w:ind w:right="740"/>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598</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1,246</w:t>
            </w: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1,267</w:t>
            </w:r>
          </w:p>
        </w:tc>
        <w:tc>
          <w:tcPr>
            <w:tcW w:w="0" w:type="dxa"/>
            <w:vAlign w:val="bottom"/>
          </w:tcPr>
          <w:p>
            <w:pPr>
              <w:spacing w:after="0"/>
              <w:rPr>
                <w:sz w:val="1"/>
                <w:szCs w:val="1"/>
                <w:color w:val="auto"/>
              </w:rPr>
            </w:pPr>
          </w:p>
        </w:tc>
      </w:tr>
      <w:tr>
        <w:trPr>
          <w:trHeight w:val="20"/>
        </w:trPr>
        <w:tc>
          <w:tcPr>
            <w:tcW w:w="53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attributable to Fiserv, Inc. per share:</w:t>
            </w:r>
          </w:p>
        </w:tc>
        <w:tc>
          <w:tcPr>
            <w:tcW w:w="8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300" w:type="dxa"/>
            <w:vAlign w:val="bottom"/>
          </w:tcPr>
          <w:p>
            <w:pPr>
              <w:ind w:left="360"/>
              <w:spacing w:after="0"/>
              <w:rPr>
                <w:sz w:val="20"/>
                <w:szCs w:val="20"/>
                <w:color w:val="auto"/>
              </w:rPr>
            </w:pPr>
            <w:r>
              <w:rPr>
                <w:rFonts w:ascii="Arial" w:cs="Arial" w:eastAsia="Arial" w:hAnsi="Arial"/>
                <w:sz w:val="16"/>
                <w:szCs w:val="16"/>
                <w:color w:val="auto"/>
              </w:rPr>
              <w:t>Basic</w:t>
            </w:r>
          </w:p>
        </w:tc>
        <w:tc>
          <w:tcPr>
            <w:tcW w:w="840" w:type="dxa"/>
            <w:vAlign w:val="bottom"/>
          </w:tcPr>
          <w:p>
            <w:pPr>
              <w:jc w:val="right"/>
              <w:ind w:right="659"/>
              <w:spacing w:after="0"/>
              <w:rPr>
                <w:sz w:val="20"/>
                <w:szCs w:val="20"/>
                <w:color w:val="auto"/>
              </w:rPr>
            </w:pPr>
            <w:r>
              <w:rPr>
                <w:rFonts w:ascii="Arial" w:cs="Arial" w:eastAsia="Arial" w:hAnsi="Arial"/>
                <w:sz w:val="16"/>
                <w:szCs w:val="16"/>
                <w:color w:val="auto"/>
                <w:w w:val="89"/>
              </w:rPr>
              <w:t>$</w:t>
            </w:r>
          </w:p>
        </w:tc>
        <w:tc>
          <w:tcPr>
            <w:tcW w:w="460" w:type="dxa"/>
            <w:vAlign w:val="bottom"/>
          </w:tcPr>
          <w:p>
            <w:pPr>
              <w:jc w:val="right"/>
              <w:spacing w:after="0"/>
              <w:rPr>
                <w:sz w:val="20"/>
                <w:szCs w:val="20"/>
                <w:color w:val="auto"/>
              </w:rPr>
            </w:pPr>
            <w:r>
              <w:rPr>
                <w:rFonts w:ascii="Arial" w:cs="Arial" w:eastAsia="Arial" w:hAnsi="Arial"/>
                <w:sz w:val="16"/>
                <w:szCs w:val="16"/>
                <w:color w:val="auto"/>
              </w:rPr>
              <w:t>1.11</w:t>
            </w:r>
          </w:p>
        </w:tc>
        <w:tc>
          <w:tcPr>
            <w:tcW w:w="960" w:type="dxa"/>
            <w:vAlign w:val="bottom"/>
            <w:gridSpan w:val="2"/>
          </w:tcPr>
          <w:p>
            <w:pPr>
              <w:jc w:val="right"/>
              <w:ind w:right="740"/>
              <w:spacing w:after="0"/>
              <w:rPr>
                <w:sz w:val="20"/>
                <w:szCs w:val="20"/>
                <w:color w:val="auto"/>
              </w:rPr>
            </w:pPr>
            <w:r>
              <w:rPr>
                <w:rFonts w:ascii="Arial" w:cs="Arial" w:eastAsia="Arial" w:hAnsi="Arial"/>
                <w:sz w:val="16"/>
                <w:szCs w:val="16"/>
                <w:color w:val="auto"/>
              </w:rPr>
              <w:t>$</w:t>
            </w:r>
          </w:p>
        </w:tc>
        <w:tc>
          <w:tcPr>
            <w:tcW w:w="480" w:type="dxa"/>
            <w:vAlign w:val="bottom"/>
          </w:tcPr>
          <w:p>
            <w:pPr>
              <w:jc w:val="right"/>
              <w:spacing w:after="0"/>
              <w:rPr>
                <w:sz w:val="20"/>
                <w:szCs w:val="20"/>
                <w:color w:val="auto"/>
              </w:rPr>
            </w:pPr>
            <w:r>
              <w:rPr>
                <w:rFonts w:ascii="Arial" w:cs="Arial" w:eastAsia="Arial" w:hAnsi="Arial"/>
                <w:sz w:val="16"/>
                <w:szCs w:val="16"/>
                <w:color w:val="auto"/>
              </w:rPr>
              <w:t>0.93</w:t>
            </w:r>
          </w:p>
        </w:tc>
        <w:tc>
          <w:tcPr>
            <w:tcW w:w="4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2.01</w:t>
            </w:r>
          </w:p>
        </w:tc>
        <w:tc>
          <w:tcPr>
            <w:tcW w:w="4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1.95</w:t>
            </w:r>
          </w:p>
        </w:tc>
        <w:tc>
          <w:tcPr>
            <w:tcW w:w="0" w:type="dxa"/>
            <w:vAlign w:val="bottom"/>
          </w:tcPr>
          <w:p>
            <w:pPr>
              <w:spacing w:after="0"/>
              <w:rPr>
                <w:sz w:val="1"/>
                <w:szCs w:val="1"/>
                <w:color w:val="auto"/>
              </w:rPr>
            </w:pPr>
          </w:p>
        </w:tc>
      </w:tr>
      <w:tr>
        <w:trPr>
          <w:trHeight w:val="219"/>
        </w:trPr>
        <w:tc>
          <w:tcPr>
            <w:tcW w:w="53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Diluted</w:t>
            </w:r>
          </w:p>
        </w:tc>
        <w:tc>
          <w:tcPr>
            <w:tcW w:w="840" w:type="dxa"/>
            <w:vAlign w:val="bottom"/>
            <w:shd w:val="clear" w:color="auto" w:fill="CCEEFF"/>
          </w:tcPr>
          <w:p>
            <w:pPr>
              <w:jc w:val="right"/>
              <w:ind w:right="659"/>
              <w:spacing w:after="0"/>
              <w:rPr>
                <w:sz w:val="20"/>
                <w:szCs w:val="20"/>
                <w:color w:val="auto"/>
              </w:rPr>
            </w:pPr>
            <w:r>
              <w:rPr>
                <w:rFonts w:ascii="Arial" w:cs="Arial" w:eastAsia="Arial" w:hAnsi="Arial"/>
                <w:sz w:val="16"/>
                <w:szCs w:val="16"/>
                <w:color w:val="auto"/>
                <w:w w:val="8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w:t>
            </w:r>
          </w:p>
        </w:tc>
        <w:tc>
          <w:tcPr>
            <w:tcW w:w="960" w:type="dxa"/>
            <w:vAlign w:val="bottom"/>
            <w:gridSpan w:val="2"/>
            <w:shd w:val="clear" w:color="auto" w:fill="CCEEFF"/>
          </w:tcPr>
          <w:p>
            <w:pPr>
              <w:jc w:val="right"/>
              <w:ind w:right="740"/>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0.92</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w:t>
            </w: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w:t>
            </w:r>
          </w:p>
        </w:tc>
        <w:tc>
          <w:tcPr>
            <w:tcW w:w="0" w:type="dxa"/>
            <w:vAlign w:val="bottom"/>
          </w:tcPr>
          <w:p>
            <w:pPr>
              <w:spacing w:after="0"/>
              <w:rPr>
                <w:sz w:val="1"/>
                <w:szCs w:val="1"/>
                <w:color w:val="auto"/>
              </w:rPr>
            </w:pPr>
          </w:p>
        </w:tc>
      </w:tr>
      <w:tr>
        <w:trPr>
          <w:trHeight w:val="270"/>
        </w:trPr>
        <w:tc>
          <w:tcPr>
            <w:tcW w:w="53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ind w:left="20"/>
              <w:spacing w:after="0"/>
              <w:rPr>
                <w:sz w:val="20"/>
                <w:szCs w:val="20"/>
                <w:color w:val="auto"/>
              </w:rPr>
            </w:pPr>
            <w:r>
              <w:rPr>
                <w:rFonts w:ascii="Arial" w:cs="Arial" w:eastAsia="Arial" w:hAnsi="Arial"/>
                <w:sz w:val="16"/>
                <w:szCs w:val="16"/>
                <w:color w:val="auto"/>
                <w:w w:val="99"/>
              </w:rPr>
              <w:t>Shares used in computing net income attributable to Fiserv, Inc. per share:</w:t>
            </w:r>
          </w:p>
        </w:tc>
        <w:tc>
          <w:tcPr>
            <w:tcW w:w="8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300" w:type="dxa"/>
            <w:vAlign w:val="bottom"/>
          </w:tcPr>
          <w:p>
            <w:pPr>
              <w:ind w:left="360"/>
              <w:spacing w:after="0"/>
              <w:rPr>
                <w:sz w:val="20"/>
                <w:szCs w:val="20"/>
                <w:color w:val="auto"/>
              </w:rPr>
            </w:pPr>
            <w:r>
              <w:rPr>
                <w:rFonts w:ascii="Arial" w:cs="Arial" w:eastAsia="Arial" w:hAnsi="Arial"/>
                <w:sz w:val="16"/>
                <w:szCs w:val="16"/>
                <w:color w:val="auto"/>
              </w:rPr>
              <w:t>Basic</w:t>
            </w:r>
          </w:p>
        </w:tc>
        <w:tc>
          <w:tcPr>
            <w:tcW w:w="8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w w:val="94"/>
              </w:rPr>
              <w:t>615.4</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w w:val="94"/>
              </w:rPr>
              <w:t>645.2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621.2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648.0</w:t>
            </w:r>
          </w:p>
        </w:tc>
        <w:tc>
          <w:tcPr>
            <w:tcW w:w="0" w:type="dxa"/>
            <w:vAlign w:val="bottom"/>
          </w:tcPr>
          <w:p>
            <w:pPr>
              <w:spacing w:after="0"/>
              <w:rPr>
                <w:sz w:val="1"/>
                <w:szCs w:val="1"/>
                <w:color w:val="auto"/>
              </w:rPr>
            </w:pPr>
          </w:p>
        </w:tc>
      </w:tr>
      <w:tr>
        <w:trPr>
          <w:trHeight w:val="219"/>
        </w:trPr>
        <w:tc>
          <w:tcPr>
            <w:tcW w:w="53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Diluted</w:t>
            </w:r>
          </w:p>
        </w:tc>
        <w:tc>
          <w:tcPr>
            <w:tcW w:w="84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4"/>
              </w:rPr>
              <w:t>619.2</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4"/>
              </w:rPr>
              <w:t>650.8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625.3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654.0</w:t>
            </w: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660" w:hanging="328"/>
        <w:spacing w:after="0" w:line="280" w:lineRule="auto"/>
        <w:tabs>
          <w:tab w:leader="none" w:pos="660" w:val="left"/>
        </w:tabs>
        <w:numPr>
          <w:ilvl w:val="0"/>
          <w:numId w:val="3"/>
        </w:numPr>
        <w:rPr>
          <w:rFonts w:ascii="Arial" w:cs="Arial" w:eastAsia="Arial" w:hAnsi="Arial"/>
          <w:sz w:val="18"/>
          <w:szCs w:val="18"/>
          <w:color w:val="auto"/>
          <w:vertAlign w:val="superscript"/>
        </w:rPr>
      </w:pPr>
      <w:r>
        <w:rPr>
          <w:rFonts w:ascii="Arial" w:cs="Arial" w:eastAsia="Arial" w:hAnsi="Arial"/>
          <w:sz w:val="14"/>
          <w:szCs w:val="14"/>
          <w:color w:val="auto"/>
        </w:rPr>
        <w:t>Includes processing and other fees charged to related party investments accounted for under the equity method of $45 million and $50 million for the three months ended June 30, 2023 and 2022, respectively, and $91 million and $100 million for the six months ended June 30, 2023 and 2022, respectively (see Note 18).</w:t>
      </w:r>
    </w:p>
    <w:p>
      <w:pPr>
        <w:spacing w:after="0" w:line="1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center"/>
        <w:ind w:right="-199"/>
        <w:spacing w:after="0"/>
        <w:rPr>
          <w:sz w:val="20"/>
          <w:szCs w:val="20"/>
          <w:color w:val="auto"/>
        </w:rPr>
      </w:pPr>
      <w:r>
        <w:rPr>
          <w:rFonts w:ascii="Arial" w:cs="Arial" w:eastAsia="Arial" w:hAnsi="Arial"/>
          <w:sz w:val="16"/>
          <w:szCs w:val="16"/>
          <w:b w:val="1"/>
          <w:bCs w:val="1"/>
          <w:color w:val="auto"/>
        </w:rPr>
        <w:t>Fiserv, Inc.</w:t>
      </w:r>
    </w:p>
    <w:p>
      <w:pPr>
        <w:spacing w:after="0" w:line="23" w:lineRule="exact"/>
        <w:rPr>
          <w:sz w:val="20"/>
          <w:szCs w:val="20"/>
          <w:color w:val="auto"/>
        </w:rPr>
      </w:pPr>
    </w:p>
    <w:p>
      <w:pPr>
        <w:jc w:val="center"/>
        <w:ind w:right="-199"/>
        <w:spacing w:after="0"/>
        <w:rPr>
          <w:sz w:val="20"/>
          <w:szCs w:val="20"/>
          <w:color w:val="auto"/>
        </w:rPr>
      </w:pPr>
      <w:r>
        <w:rPr>
          <w:rFonts w:ascii="Arial" w:cs="Arial" w:eastAsia="Arial" w:hAnsi="Arial"/>
          <w:sz w:val="16"/>
          <w:szCs w:val="16"/>
          <w:b w:val="1"/>
          <w:bCs w:val="1"/>
          <w:color w:val="auto"/>
        </w:rPr>
        <w:t>Consolidated Statements of Comprehensive Income</w:t>
      </w:r>
    </w:p>
    <w:p>
      <w:pPr>
        <w:spacing w:after="0" w:line="8" w:lineRule="exact"/>
        <w:rPr>
          <w:sz w:val="20"/>
          <w:szCs w:val="20"/>
          <w:color w:val="auto"/>
        </w:rPr>
      </w:pPr>
    </w:p>
    <w:p>
      <w:pPr>
        <w:ind w:left="5220"/>
        <w:spacing w:after="0"/>
        <w:rPr>
          <w:sz w:val="20"/>
          <w:szCs w:val="20"/>
          <w:color w:val="auto"/>
        </w:rPr>
      </w:pPr>
      <w:r>
        <w:rPr>
          <w:rFonts w:ascii="Arial" w:cs="Arial" w:eastAsia="Arial" w:hAnsi="Arial"/>
          <w:sz w:val="16"/>
          <w:szCs w:val="16"/>
          <w:color w:val="auto"/>
        </w:rPr>
        <w:t>(In millions)</w:t>
      </w:r>
    </w:p>
    <w:p>
      <w:pPr>
        <w:spacing w:after="0" w:line="15" w:lineRule="exact"/>
        <w:rPr>
          <w:sz w:val="20"/>
          <w:szCs w:val="20"/>
          <w:color w:val="auto"/>
        </w:rPr>
      </w:pPr>
    </w:p>
    <w:p>
      <w:pPr>
        <w:ind w:left="5240"/>
        <w:spacing w:after="0"/>
        <w:rPr>
          <w:sz w:val="20"/>
          <w:szCs w:val="20"/>
          <w:color w:val="auto"/>
        </w:rPr>
      </w:pPr>
      <w:r>
        <w:rPr>
          <w:rFonts w:ascii="Arial" w:cs="Arial" w:eastAsia="Arial" w:hAnsi="Arial"/>
          <w:sz w:val="16"/>
          <w:szCs w:val="16"/>
          <w:color w:val="auto"/>
        </w:rPr>
        <w:t>(Unaudited)</w:t>
      </w:r>
    </w:p>
    <w:p>
      <w:pPr>
        <w:spacing w:after="0" w:line="100" w:lineRule="exact"/>
        <w:rPr>
          <w:sz w:val="20"/>
          <w:szCs w:val="20"/>
          <w:color w:val="auto"/>
        </w:rPr>
      </w:pPr>
    </w:p>
    <w:tbl>
      <w:tblPr>
        <w:tblLayout w:type="fixed"/>
        <w:tblInd w:w="220" w:type="dxa"/>
        <w:tblCellMar>
          <w:top w:w="0" w:type="dxa"/>
          <w:left w:w="0" w:type="dxa"/>
          <w:bottom w:w="0" w:type="dxa"/>
          <w:right w:w="0" w:type="dxa"/>
        </w:tblCellMar>
      </w:tblPr>
      <w:tr>
        <w:trPr>
          <w:trHeight w:val="184"/>
        </w:trPr>
        <w:tc>
          <w:tcPr>
            <w:tcW w:w="5280" w:type="dxa"/>
            <w:vAlign w:val="bottom"/>
          </w:tcPr>
          <w:p>
            <w:pPr>
              <w:spacing w:after="0"/>
              <w:rPr>
                <w:sz w:val="16"/>
                <w:szCs w:val="16"/>
                <w:color w:val="auto"/>
              </w:rPr>
            </w:pPr>
          </w:p>
        </w:tc>
        <w:tc>
          <w:tcPr>
            <w:tcW w:w="2260" w:type="dxa"/>
            <w:vAlign w:val="bottom"/>
            <w:gridSpan w:val="4"/>
          </w:tcPr>
          <w:p>
            <w:pPr>
              <w:jc w:val="right"/>
              <w:ind w:right="75"/>
              <w:spacing w:after="0"/>
              <w:rPr>
                <w:sz w:val="20"/>
                <w:szCs w:val="20"/>
                <w:color w:val="auto"/>
              </w:rPr>
            </w:pPr>
            <w:r>
              <w:rPr>
                <w:rFonts w:ascii="Arial" w:cs="Arial" w:eastAsia="Arial" w:hAnsi="Arial"/>
                <w:sz w:val="16"/>
                <w:szCs w:val="16"/>
                <w:b w:val="1"/>
                <w:bCs w:val="1"/>
                <w:color w:val="auto"/>
              </w:rPr>
              <w:t>Three Months Ended</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20" w:type="dxa"/>
            <w:vAlign w:val="bottom"/>
            <w:gridSpan w:val="4"/>
          </w:tcPr>
          <w:p>
            <w:pPr>
              <w:jc w:val="right"/>
              <w:ind w:right="631"/>
              <w:spacing w:after="0"/>
              <w:rPr>
                <w:sz w:val="20"/>
                <w:szCs w:val="20"/>
                <w:color w:val="auto"/>
              </w:rPr>
            </w:pPr>
            <w:r>
              <w:rPr>
                <w:rFonts w:ascii="Arial" w:cs="Arial" w:eastAsia="Arial" w:hAnsi="Arial"/>
                <w:sz w:val="16"/>
                <w:szCs w:val="16"/>
                <w:b w:val="1"/>
                <w:bCs w:val="1"/>
                <w:color w:val="auto"/>
              </w:rPr>
              <w:t>Six Months Ended</w:t>
            </w:r>
          </w:p>
        </w:tc>
        <w:tc>
          <w:tcPr>
            <w:tcW w:w="0" w:type="dxa"/>
            <w:vAlign w:val="bottom"/>
          </w:tcPr>
          <w:p>
            <w:pPr>
              <w:spacing w:after="0"/>
              <w:rPr>
                <w:sz w:val="1"/>
                <w:szCs w:val="1"/>
                <w:color w:val="auto"/>
              </w:rPr>
            </w:pPr>
          </w:p>
        </w:tc>
      </w:tr>
      <w:tr>
        <w:trPr>
          <w:trHeight w:val="213"/>
        </w:trPr>
        <w:tc>
          <w:tcPr>
            <w:tcW w:w="528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3"/>
          </w:tcPr>
          <w:p>
            <w:pPr>
              <w:ind w:left="180"/>
              <w:spacing w:after="0"/>
              <w:rPr>
                <w:sz w:val="20"/>
                <w:szCs w:val="20"/>
                <w:color w:val="auto"/>
              </w:rPr>
            </w:pPr>
            <w:r>
              <w:rPr>
                <w:rFonts w:ascii="Arial" w:cs="Arial" w:eastAsia="Arial" w:hAnsi="Arial"/>
                <w:sz w:val="16"/>
                <w:szCs w:val="16"/>
                <w:b w:val="1"/>
                <w:bCs w:val="1"/>
                <w:color w:val="auto"/>
              </w:rPr>
              <w:t>June 30,</w:t>
            </w:r>
          </w:p>
        </w:tc>
        <w:tc>
          <w:tcPr>
            <w:tcW w:w="4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3"/>
          </w:tcPr>
          <w:p>
            <w:pPr>
              <w:ind w:left="760"/>
              <w:spacing w:after="0"/>
              <w:rPr>
                <w:sz w:val="20"/>
                <w:szCs w:val="20"/>
                <w:color w:val="auto"/>
              </w:rPr>
            </w:pPr>
            <w:r>
              <w:rPr>
                <w:rFonts w:ascii="Arial" w:cs="Arial" w:eastAsia="Arial" w:hAnsi="Arial"/>
                <w:sz w:val="16"/>
                <w:szCs w:val="16"/>
                <w:b w:val="1"/>
                <w:bCs w:val="1"/>
                <w:color w:val="auto"/>
              </w:rPr>
              <w:t>June 30,</w:t>
            </w:r>
          </w:p>
        </w:tc>
        <w:tc>
          <w:tcPr>
            <w:tcW w:w="9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8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4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4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2"/>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239"/>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900" w:type="dxa"/>
            <w:vAlign w:val="bottom"/>
            <w:shd w:val="clear" w:color="auto" w:fill="CCEEFF"/>
          </w:tcPr>
          <w:p>
            <w:pPr>
              <w:jc w:val="right"/>
              <w:ind w:right="694"/>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w:t>
            </w:r>
          </w:p>
        </w:tc>
        <w:tc>
          <w:tcPr>
            <w:tcW w:w="940" w:type="dxa"/>
            <w:vAlign w:val="bottom"/>
            <w:gridSpan w:val="2"/>
            <w:shd w:val="clear" w:color="auto" w:fill="CCEEFF"/>
          </w:tcPr>
          <w:p>
            <w:pPr>
              <w:jc w:val="right"/>
              <w:ind w:right="655"/>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w:t>
            </w:r>
          </w:p>
        </w:tc>
        <w:tc>
          <w:tcPr>
            <w:tcW w:w="40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1,271</w:t>
            </w:r>
          </w:p>
        </w:tc>
        <w:tc>
          <w:tcPr>
            <w:tcW w:w="46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1,291</w:t>
            </w:r>
          </w:p>
        </w:tc>
        <w:tc>
          <w:tcPr>
            <w:tcW w:w="0" w:type="dxa"/>
            <w:vAlign w:val="bottom"/>
          </w:tcPr>
          <w:p>
            <w:pPr>
              <w:spacing w:after="0"/>
              <w:rPr>
                <w:sz w:val="1"/>
                <w:szCs w:val="1"/>
                <w:color w:val="auto"/>
              </w:rPr>
            </w:pPr>
          </w:p>
        </w:tc>
      </w:tr>
      <w:tr>
        <w:trPr>
          <w:trHeight w:val="229"/>
        </w:trPr>
        <w:tc>
          <w:tcPr>
            <w:tcW w:w="5280" w:type="dxa"/>
            <w:vAlign w:val="bottom"/>
          </w:tcPr>
          <w:p>
            <w:pPr>
              <w:ind w:left="20"/>
              <w:spacing w:after="0"/>
              <w:rPr>
                <w:sz w:val="20"/>
                <w:szCs w:val="20"/>
                <w:color w:val="auto"/>
              </w:rPr>
            </w:pPr>
            <w:r>
              <w:rPr>
                <w:rFonts w:ascii="Arial" w:cs="Arial" w:eastAsia="Arial" w:hAnsi="Arial"/>
                <w:sz w:val="18"/>
                <w:szCs w:val="18"/>
                <w:color w:val="auto"/>
              </w:rPr>
              <w:t>Other comprehensive income (loss):</w:t>
            </w:r>
          </w:p>
        </w:tc>
        <w:tc>
          <w:tcPr>
            <w:tcW w:w="9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Fair market value adjustment on derivatives</w:t>
            </w:r>
          </w:p>
        </w:tc>
        <w:tc>
          <w:tcPr>
            <w:tcW w:w="9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188"/>
        </w:trPr>
        <w:tc>
          <w:tcPr>
            <w:tcW w:w="5280" w:type="dxa"/>
            <w:vAlign w:val="bottom"/>
          </w:tcPr>
          <w:p>
            <w:pPr>
              <w:ind w:left="220"/>
              <w:spacing w:after="0" w:line="189" w:lineRule="exact"/>
              <w:rPr>
                <w:sz w:val="20"/>
                <w:szCs w:val="20"/>
                <w:color w:val="auto"/>
              </w:rPr>
            </w:pPr>
            <w:r>
              <w:rPr>
                <w:rFonts w:ascii="Arial" w:cs="Arial" w:eastAsia="Arial" w:hAnsi="Arial"/>
                <w:sz w:val="18"/>
                <w:szCs w:val="18"/>
                <w:color w:val="auto"/>
                <w:w w:val="90"/>
              </w:rPr>
              <w:t>Reclassification adjustment for net realized gains on cash flow hedges</w:t>
            </w:r>
          </w:p>
        </w:tc>
        <w:tc>
          <w:tcPr>
            <w:tcW w:w="9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460"/>
              <w:spacing w:after="0"/>
              <w:rPr>
                <w:sz w:val="20"/>
                <w:szCs w:val="20"/>
                <w:color w:val="auto"/>
              </w:rPr>
            </w:pPr>
            <w:r>
              <w:rPr>
                <w:rFonts w:ascii="Arial" w:cs="Arial" w:eastAsia="Arial" w:hAnsi="Arial"/>
                <w:sz w:val="18"/>
                <w:szCs w:val="18"/>
                <w:color w:val="auto"/>
              </w:rPr>
              <w:t>included in cost of processing and services</w:t>
            </w:r>
          </w:p>
        </w:tc>
        <w:tc>
          <w:tcPr>
            <w:tcW w:w="900" w:type="dxa"/>
            <w:vAlign w:val="bottom"/>
          </w:tcPr>
          <w:p>
            <w:pPr>
              <w:spacing w:after="0"/>
              <w:rPr>
                <w:sz w:val="20"/>
                <w:szCs w:val="20"/>
                <w:color w:val="auto"/>
              </w:rPr>
            </w:pPr>
          </w:p>
        </w:tc>
        <w:tc>
          <w:tcPr>
            <w:tcW w:w="420" w:type="dxa"/>
            <w:vAlign w:val="bottom"/>
          </w:tcPr>
          <w:p>
            <w:pPr>
              <w:ind w:left="180"/>
              <w:spacing w:after="0"/>
              <w:rPr>
                <w:sz w:val="20"/>
                <w:szCs w:val="20"/>
                <w:color w:val="auto"/>
              </w:rPr>
            </w:pPr>
            <w:r>
              <w:rPr>
                <w:rFonts w:ascii="Arial" w:cs="Arial" w:eastAsia="Arial" w:hAnsi="Arial"/>
                <w:sz w:val="18"/>
                <w:szCs w:val="18"/>
                <w:color w:val="auto"/>
                <w:w w:val="99"/>
              </w:rPr>
              <w:t>(1)</w:t>
            </w:r>
          </w:p>
        </w:tc>
        <w:tc>
          <w:tcPr>
            <w:tcW w:w="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75"/>
        </w:trPr>
        <w:tc>
          <w:tcPr>
            <w:tcW w:w="528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Reclassification adjustment for net realized losses on cash flow</w:t>
            </w:r>
          </w:p>
        </w:tc>
        <w:tc>
          <w:tcPr>
            <w:tcW w:w="900" w:type="dxa"/>
            <w:vAlign w:val="bottom"/>
            <w:shd w:val="clear" w:color="auto" w:fill="CCEEFF"/>
          </w:tcPr>
          <w:p>
            <w:pPr>
              <w:spacing w:after="0"/>
              <w:rPr>
                <w:sz w:val="15"/>
                <w:szCs w:val="15"/>
                <w:color w:val="auto"/>
              </w:rPr>
            </w:pP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3"/>
        </w:trPr>
        <w:tc>
          <w:tcPr>
            <w:tcW w:w="52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hedges included in net interest expense</w:t>
            </w:r>
          </w:p>
        </w:tc>
        <w:tc>
          <w:tcPr>
            <w:tcW w:w="900" w:type="dxa"/>
            <w:vAlign w:val="bottom"/>
            <w:shd w:val="clear" w:color="auto" w:fill="CCEEFF"/>
          </w:tcPr>
          <w:p>
            <w:pPr>
              <w:spacing w:after="0"/>
              <w:rPr>
                <w:sz w:val="21"/>
                <w:szCs w:val="21"/>
                <w:color w:val="auto"/>
              </w:rPr>
            </w:pPr>
          </w:p>
        </w:tc>
        <w:tc>
          <w:tcPr>
            <w:tcW w:w="42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46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0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96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280" w:type="dxa"/>
            <w:vAlign w:val="bottom"/>
          </w:tcPr>
          <w:p>
            <w:pPr>
              <w:ind w:left="220"/>
              <w:spacing w:after="0"/>
              <w:rPr>
                <w:sz w:val="20"/>
                <w:szCs w:val="20"/>
                <w:color w:val="auto"/>
              </w:rPr>
            </w:pPr>
            <w:r>
              <w:rPr>
                <w:rFonts w:ascii="Arial" w:cs="Arial" w:eastAsia="Arial" w:hAnsi="Arial"/>
                <w:sz w:val="18"/>
                <w:szCs w:val="18"/>
                <w:color w:val="auto"/>
              </w:rPr>
              <w:t>Tax impacts of derivatives</w:t>
            </w:r>
          </w:p>
        </w:tc>
        <w:tc>
          <w:tcPr>
            <w:tcW w:w="900" w:type="dxa"/>
            <w:vAlign w:val="bottom"/>
          </w:tcPr>
          <w:p>
            <w:pPr>
              <w:spacing w:after="0"/>
              <w:rPr>
                <w:sz w:val="19"/>
                <w:szCs w:val="19"/>
                <w:color w:val="auto"/>
              </w:rPr>
            </w:pPr>
          </w:p>
        </w:tc>
        <w:tc>
          <w:tcPr>
            <w:tcW w:w="420" w:type="dxa"/>
            <w:vAlign w:val="bottom"/>
          </w:tcPr>
          <w:p>
            <w:pPr>
              <w:ind w:left="180"/>
              <w:spacing w:after="0"/>
              <w:rPr>
                <w:sz w:val="20"/>
                <w:szCs w:val="20"/>
                <w:color w:val="auto"/>
              </w:rPr>
            </w:pPr>
            <w:r>
              <w:rPr>
                <w:rFonts w:ascii="Arial" w:cs="Arial" w:eastAsia="Arial" w:hAnsi="Arial"/>
                <w:sz w:val="18"/>
                <w:szCs w:val="18"/>
                <w:color w:val="auto"/>
                <w:w w:val="99"/>
              </w:rPr>
              <w:t>(1)</w:t>
            </w: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ind w:left="760"/>
              <w:spacing w:after="0"/>
              <w:rPr>
                <w:sz w:val="20"/>
                <w:szCs w:val="20"/>
                <w:color w:val="auto"/>
              </w:rPr>
            </w:pPr>
            <w:r>
              <w:rPr>
                <w:rFonts w:ascii="Arial" w:cs="Arial" w:eastAsia="Arial" w:hAnsi="Arial"/>
                <w:sz w:val="18"/>
                <w:szCs w:val="18"/>
                <w:color w:val="auto"/>
                <w:w w:val="99"/>
              </w:rPr>
              <w:t>(4)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Unrealized gain (loss) on defined benefit pension plans</w:t>
            </w:r>
          </w:p>
        </w:tc>
        <w:tc>
          <w:tcPr>
            <w:tcW w:w="9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7"/>
        </w:trPr>
        <w:tc>
          <w:tcPr>
            <w:tcW w:w="5280" w:type="dxa"/>
            <w:vAlign w:val="bottom"/>
          </w:tcPr>
          <w:p>
            <w:pPr>
              <w:ind w:left="220"/>
              <w:spacing w:after="0"/>
              <w:rPr>
                <w:sz w:val="20"/>
                <w:szCs w:val="20"/>
                <w:color w:val="auto"/>
              </w:rPr>
            </w:pPr>
            <w:r>
              <w:rPr>
                <w:rFonts w:ascii="Arial" w:cs="Arial" w:eastAsia="Arial" w:hAnsi="Arial"/>
                <w:sz w:val="18"/>
                <w:szCs w:val="18"/>
                <w:color w:val="auto"/>
              </w:rPr>
              <w:t>Tax impacts of defined benefit pension plans</w:t>
            </w:r>
          </w:p>
        </w:tc>
        <w:tc>
          <w:tcPr>
            <w:tcW w:w="90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ind w:left="760"/>
              <w:spacing w:after="0"/>
              <w:rPr>
                <w:sz w:val="20"/>
                <w:szCs w:val="20"/>
                <w:color w:val="auto"/>
              </w:rPr>
            </w:pPr>
            <w:r>
              <w:rPr>
                <w:rFonts w:ascii="Arial" w:cs="Arial" w:eastAsia="Arial" w:hAnsi="Arial"/>
                <w:sz w:val="18"/>
                <w:szCs w:val="18"/>
                <w:color w:val="auto"/>
                <w:w w:val="99"/>
              </w:rPr>
              <w:t>(1)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6"/>
        </w:trPr>
        <w:tc>
          <w:tcPr>
            <w:tcW w:w="5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Foreign currency translation</w:t>
            </w:r>
          </w:p>
        </w:tc>
        <w:tc>
          <w:tcPr>
            <w:tcW w:w="900" w:type="dxa"/>
            <w:vAlign w:val="bottom"/>
            <w:shd w:val="clear" w:color="auto" w:fill="CCEEFF"/>
          </w:tcPr>
          <w:p>
            <w:pPr>
              <w:spacing w:after="0"/>
              <w:rPr>
                <w:sz w:val="20"/>
                <w:szCs w:val="20"/>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(324)</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29"/>
        </w:trPr>
        <w:tc>
          <w:tcPr>
            <w:tcW w:w="5280" w:type="dxa"/>
            <w:vAlign w:val="bottom"/>
          </w:tcPr>
          <w:p>
            <w:pPr>
              <w:ind w:left="220"/>
              <w:spacing w:after="0"/>
              <w:rPr>
                <w:sz w:val="20"/>
                <w:szCs w:val="20"/>
                <w:color w:val="auto"/>
              </w:rPr>
            </w:pPr>
            <w:r>
              <w:rPr>
                <w:rFonts w:ascii="Arial" w:cs="Arial" w:eastAsia="Arial" w:hAnsi="Arial"/>
                <w:sz w:val="18"/>
                <w:szCs w:val="18"/>
                <w:color w:val="auto"/>
              </w:rPr>
              <w:t>Tax impacts of foreign currency translation</w:t>
            </w:r>
          </w:p>
        </w:tc>
        <w:tc>
          <w:tcPr>
            <w:tcW w:w="9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80" w:type="dxa"/>
            <w:vAlign w:val="bottom"/>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23"/>
        </w:trPr>
        <w:tc>
          <w:tcPr>
            <w:tcW w:w="52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Total other comprehensive income (loss)</w:t>
            </w:r>
          </w:p>
        </w:tc>
        <w:tc>
          <w:tcPr>
            <w:tcW w:w="90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(389)</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0" w:type="dxa"/>
            <w:vAlign w:val="bottom"/>
          </w:tcPr>
          <w:p>
            <w:pPr>
              <w:spacing w:after="0"/>
              <w:rPr>
                <w:sz w:val="1"/>
                <w:szCs w:val="1"/>
                <w:color w:val="auto"/>
              </w:rPr>
            </w:pPr>
          </w:p>
        </w:tc>
      </w:tr>
      <w:tr>
        <w:trPr>
          <w:trHeight w:val="230"/>
        </w:trPr>
        <w:tc>
          <w:tcPr>
            <w:tcW w:w="5280" w:type="dxa"/>
            <w:vAlign w:val="bottom"/>
          </w:tcPr>
          <w:p>
            <w:pPr>
              <w:ind w:left="20"/>
              <w:spacing w:after="0"/>
              <w:rPr>
                <w:sz w:val="20"/>
                <w:szCs w:val="20"/>
                <w:color w:val="auto"/>
              </w:rPr>
            </w:pPr>
            <w:r>
              <w:rPr>
                <w:rFonts w:ascii="Arial" w:cs="Arial" w:eastAsia="Arial" w:hAnsi="Arial"/>
                <w:sz w:val="18"/>
                <w:szCs w:val="18"/>
                <w:color w:val="auto"/>
              </w:rPr>
              <w:t>Comprehensive income</w:t>
            </w:r>
          </w:p>
        </w:tc>
        <w:tc>
          <w:tcPr>
            <w:tcW w:w="900" w:type="dxa"/>
            <w:vAlign w:val="bottom"/>
          </w:tcPr>
          <w:p>
            <w:pPr>
              <w:jc w:val="right"/>
              <w:ind w:right="694"/>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852</w:t>
            </w:r>
          </w:p>
        </w:tc>
        <w:tc>
          <w:tcPr>
            <w:tcW w:w="940" w:type="dxa"/>
            <w:vAlign w:val="bottom"/>
            <w:gridSpan w:val="2"/>
          </w:tcPr>
          <w:p>
            <w:pPr>
              <w:jc w:val="right"/>
              <w:ind w:right="655"/>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220</w:t>
            </w:r>
          </w:p>
        </w:tc>
        <w:tc>
          <w:tcPr>
            <w:tcW w:w="40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1,575</w:t>
            </w:r>
          </w:p>
        </w:tc>
        <w:tc>
          <w:tcPr>
            <w:tcW w:w="46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990</w:t>
            </w:r>
          </w:p>
        </w:tc>
        <w:tc>
          <w:tcPr>
            <w:tcW w:w="0" w:type="dxa"/>
            <w:vAlign w:val="bottom"/>
          </w:tcPr>
          <w:p>
            <w:pPr>
              <w:spacing w:after="0"/>
              <w:rPr>
                <w:sz w:val="1"/>
                <w:szCs w:val="1"/>
                <w:color w:val="auto"/>
              </w:rPr>
            </w:pPr>
          </w:p>
        </w:tc>
      </w:tr>
      <w:tr>
        <w:trPr>
          <w:trHeight w:val="182"/>
        </w:trPr>
        <w:tc>
          <w:tcPr>
            <w:tcW w:w="5280" w:type="dxa"/>
            <w:vAlign w:val="bottom"/>
            <w:shd w:val="clear" w:color="auto" w:fill="CCEEFF"/>
          </w:tcPr>
          <w:p>
            <w:pPr>
              <w:ind w:left="220"/>
              <w:spacing w:after="0" w:line="182" w:lineRule="exact"/>
              <w:rPr>
                <w:sz w:val="20"/>
                <w:szCs w:val="20"/>
                <w:color w:val="auto"/>
              </w:rPr>
            </w:pPr>
            <w:r>
              <w:rPr>
                <w:rFonts w:ascii="Arial" w:cs="Arial" w:eastAsia="Arial" w:hAnsi="Arial"/>
                <w:sz w:val="18"/>
                <w:szCs w:val="18"/>
                <w:color w:val="auto"/>
              </w:rPr>
              <w:t>Less: net income attributable to noncontrolling interests and</w:t>
            </w:r>
          </w:p>
        </w:tc>
        <w:tc>
          <w:tcPr>
            <w:tcW w:w="900" w:type="dxa"/>
            <w:vAlign w:val="bottom"/>
            <w:shd w:val="clear" w:color="auto" w:fill="CCEEFF"/>
          </w:tcPr>
          <w:p>
            <w:pPr>
              <w:spacing w:after="0"/>
              <w:rPr>
                <w:sz w:val="15"/>
                <w:szCs w:val="15"/>
                <w:color w:val="auto"/>
              </w:rPr>
            </w:pP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29"/>
        </w:trPr>
        <w:tc>
          <w:tcPr>
            <w:tcW w:w="52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redeemable noncontrolling interests</w:t>
            </w:r>
          </w:p>
        </w:tc>
        <w:tc>
          <w:tcPr>
            <w:tcW w:w="900" w:type="dxa"/>
            <w:vAlign w:val="bottom"/>
            <w:shd w:val="clear" w:color="auto" w:fill="CCEEFF"/>
          </w:tcPr>
          <w:p>
            <w:pPr>
              <w:spacing w:after="0"/>
              <w:rPr>
                <w:sz w:val="19"/>
                <w:szCs w:val="19"/>
                <w:color w:val="auto"/>
              </w:rPr>
            </w:pPr>
          </w:p>
        </w:tc>
        <w:tc>
          <w:tcPr>
            <w:tcW w:w="4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5280" w:type="dxa"/>
            <w:vAlign w:val="bottom"/>
          </w:tcPr>
          <w:p>
            <w:pPr>
              <w:ind w:left="220"/>
              <w:spacing w:after="0" w:line="189" w:lineRule="exact"/>
              <w:rPr>
                <w:sz w:val="20"/>
                <w:szCs w:val="20"/>
                <w:color w:val="auto"/>
              </w:rPr>
            </w:pPr>
            <w:r>
              <w:rPr>
                <w:rFonts w:ascii="Arial" w:cs="Arial" w:eastAsia="Arial" w:hAnsi="Arial"/>
                <w:sz w:val="18"/>
                <w:szCs w:val="18"/>
                <w:color w:val="auto"/>
              </w:rPr>
              <w:t>Less: other comprehensive income (loss) attributable to</w:t>
            </w:r>
          </w:p>
        </w:tc>
        <w:tc>
          <w:tcPr>
            <w:tcW w:w="900" w:type="dxa"/>
            <w:vAlign w:val="bottom"/>
          </w:tcPr>
          <w:p>
            <w:pPr>
              <w:spacing w:after="0"/>
              <w:rPr>
                <w:sz w:val="16"/>
                <w:szCs w:val="16"/>
                <w:color w:val="auto"/>
              </w:rPr>
            </w:pPr>
          </w:p>
        </w:tc>
        <w:tc>
          <w:tcPr>
            <w:tcW w:w="420" w:type="dxa"/>
            <w:vAlign w:val="bottom"/>
            <w:vMerge w:val="restart"/>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60" w:type="dxa"/>
            <w:vAlign w:val="bottom"/>
            <w:vMerge w:val="restart"/>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30"/>
        </w:trPr>
        <w:tc>
          <w:tcPr>
            <w:tcW w:w="528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noncontrolling interests</w:t>
            </w:r>
          </w:p>
        </w:tc>
        <w:tc>
          <w:tcPr>
            <w:tcW w:w="90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vMerge w:val="continue"/>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5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income attributable to Fiserv, Inc.</w:t>
            </w:r>
          </w:p>
        </w:tc>
        <w:tc>
          <w:tcPr>
            <w:tcW w:w="900" w:type="dxa"/>
            <w:vAlign w:val="bottom"/>
            <w:tcBorders>
              <w:bottom w:val="single" w:sz="8" w:color="auto"/>
            </w:tcBorders>
            <w:shd w:val="clear" w:color="auto" w:fill="CCEEFF"/>
          </w:tcPr>
          <w:p>
            <w:pPr>
              <w:jc w:val="right"/>
              <w:ind w:right="694"/>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837</w:t>
            </w:r>
          </w:p>
        </w:tc>
        <w:tc>
          <w:tcPr>
            <w:tcW w:w="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655"/>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1,007</w:t>
            </w:r>
          </w:p>
        </w:tc>
        <w:tc>
          <w:tcPr>
            <w:tcW w:w="0" w:type="dxa"/>
            <w:vAlign w:val="bottom"/>
          </w:tcPr>
          <w:p>
            <w:pPr>
              <w:spacing w:after="0"/>
              <w:rPr>
                <w:sz w:val="1"/>
                <w:szCs w:val="1"/>
                <w:color w:val="auto"/>
              </w:rPr>
            </w:pPr>
          </w:p>
        </w:tc>
      </w:tr>
      <w:tr>
        <w:trPr>
          <w:trHeight w:val="20"/>
        </w:trPr>
        <w:tc>
          <w:tcPr>
            <w:tcW w:w="52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125" w:right="53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Fiserv,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Balance Sheets</w:t>
      </w:r>
    </w:p>
    <w:p>
      <w:pPr>
        <w:spacing w:after="0" w:line="8" w:lineRule="exact"/>
        <w:rPr>
          <w:sz w:val="20"/>
          <w:szCs w:val="20"/>
          <w:color w:val="auto"/>
        </w:rPr>
      </w:pPr>
    </w:p>
    <w:p>
      <w:pPr>
        <w:ind w:left="5220"/>
        <w:spacing w:after="0"/>
        <w:rPr>
          <w:sz w:val="20"/>
          <w:szCs w:val="20"/>
          <w:color w:val="auto"/>
        </w:rPr>
      </w:pPr>
      <w:r>
        <w:rPr>
          <w:rFonts w:ascii="Arial" w:cs="Arial" w:eastAsia="Arial" w:hAnsi="Arial"/>
          <w:sz w:val="16"/>
          <w:szCs w:val="16"/>
          <w:color w:val="auto"/>
        </w:rPr>
        <w:t>(In millions)</w:t>
      </w:r>
    </w:p>
    <w:p>
      <w:pPr>
        <w:spacing w:after="0" w:line="15" w:lineRule="exact"/>
        <w:rPr>
          <w:sz w:val="20"/>
          <w:szCs w:val="20"/>
          <w:color w:val="auto"/>
        </w:rPr>
      </w:pPr>
    </w:p>
    <w:p>
      <w:pPr>
        <w:ind w:left="5240"/>
        <w:spacing w:after="0"/>
        <w:rPr>
          <w:sz w:val="20"/>
          <w:szCs w:val="20"/>
          <w:color w:val="auto"/>
        </w:rPr>
      </w:pPr>
      <w:r>
        <w:rPr>
          <w:rFonts w:ascii="Arial" w:cs="Arial" w:eastAsia="Arial" w:hAnsi="Arial"/>
          <w:sz w:val="16"/>
          <w:szCs w:val="16"/>
          <w:color w:val="auto"/>
        </w:rPr>
        <w:t>(Unaudited)</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8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40" w:type="dxa"/>
            <w:vAlign w:val="bottom"/>
          </w:tcPr>
          <w:p>
            <w:pPr>
              <w:jc w:val="right"/>
              <w:ind w:right="459"/>
              <w:spacing w:after="0"/>
              <w:rPr>
                <w:sz w:val="20"/>
                <w:szCs w:val="20"/>
                <w:color w:val="auto"/>
              </w:rPr>
            </w:pPr>
            <w:r>
              <w:rPr>
                <w:rFonts w:ascii="Arial" w:cs="Arial" w:eastAsia="Arial" w:hAnsi="Arial"/>
                <w:sz w:val="16"/>
                <w:szCs w:val="16"/>
                <w:b w:val="1"/>
                <w:bCs w:val="1"/>
                <w:color w:val="auto"/>
              </w:rPr>
              <w:t>June 30,</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tcPr>
          <w:p>
            <w:pPr>
              <w:jc w:val="right"/>
              <w:ind w:right="279"/>
              <w:spacing w:after="0"/>
              <w:rPr>
                <w:sz w:val="20"/>
                <w:szCs w:val="20"/>
                <w:color w:val="auto"/>
              </w:rPr>
            </w:pPr>
            <w:r>
              <w:rPr>
                <w:rFonts w:ascii="Arial" w:cs="Arial" w:eastAsia="Arial" w:hAnsi="Arial"/>
                <w:sz w:val="16"/>
                <w:szCs w:val="16"/>
                <w:b w:val="1"/>
                <w:bCs w:val="1"/>
                <w:color w:val="auto"/>
                <w:w w:val="99"/>
              </w:rPr>
              <w:t>December 31,</w:t>
            </w:r>
          </w:p>
        </w:tc>
      </w:tr>
      <w:tr>
        <w:trPr>
          <w:trHeight w:val="213"/>
        </w:trPr>
        <w:tc>
          <w:tcPr>
            <w:tcW w:w="78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2023</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2022</w:t>
            </w:r>
          </w:p>
        </w:tc>
      </w:tr>
      <w:tr>
        <w:trPr>
          <w:trHeight w:val="212"/>
        </w:trPr>
        <w:tc>
          <w:tcPr>
            <w:tcW w:w="7820" w:type="dxa"/>
            <w:vAlign w:val="bottom"/>
            <w:shd w:val="clear" w:color="auto" w:fill="CCEEFF"/>
          </w:tcPr>
          <w:p>
            <w:pPr>
              <w:ind w:left="3700"/>
              <w:spacing w:after="0"/>
              <w:rPr>
                <w:sz w:val="20"/>
                <w:szCs w:val="20"/>
                <w:color w:val="auto"/>
              </w:rPr>
            </w:pPr>
            <w:r>
              <w:rPr>
                <w:rFonts w:ascii="Arial" w:cs="Arial" w:eastAsia="Arial" w:hAnsi="Arial"/>
                <w:sz w:val="16"/>
                <w:szCs w:val="16"/>
                <w:b w:val="1"/>
                <w:bCs w:val="1"/>
                <w:color w:val="auto"/>
              </w:rPr>
              <w:t>Assets</w:t>
            </w:r>
          </w:p>
        </w:tc>
        <w:tc>
          <w:tcPr>
            <w:tcW w:w="3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13"/>
        </w:trPr>
        <w:tc>
          <w:tcPr>
            <w:tcW w:w="7820" w:type="dxa"/>
            <w:vAlign w:val="bottom"/>
          </w:tcPr>
          <w:p>
            <w:pPr>
              <w:ind w:left="20"/>
              <w:spacing w:after="0"/>
              <w:rPr>
                <w:sz w:val="20"/>
                <w:szCs w:val="20"/>
                <w:color w:val="auto"/>
              </w:rPr>
            </w:pPr>
            <w:r>
              <w:rPr>
                <w:rFonts w:ascii="Arial" w:cs="Arial" w:eastAsia="Arial" w:hAnsi="Arial"/>
                <w:sz w:val="16"/>
                <w:szCs w:val="16"/>
                <w:color w:val="auto"/>
              </w:rPr>
              <w:t>Cash and cash equivalents</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1,082</w:t>
            </w:r>
          </w:p>
        </w:tc>
        <w:tc>
          <w:tcPr>
            <w:tcW w:w="3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902</w:t>
            </w:r>
          </w:p>
        </w:tc>
      </w:tr>
      <w:tr>
        <w:trPr>
          <w:trHeight w:val="219"/>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Trade accounts receivable, less allowance for doubtful accounts</w:t>
            </w: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3,465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3,585</w:t>
            </w:r>
          </w:p>
        </w:tc>
      </w:tr>
      <w:tr>
        <w:trPr>
          <w:trHeight w:val="213"/>
        </w:trPr>
        <w:tc>
          <w:tcPr>
            <w:tcW w:w="7820" w:type="dxa"/>
            <w:vAlign w:val="bottom"/>
          </w:tcPr>
          <w:p>
            <w:pPr>
              <w:ind w:left="20"/>
              <w:spacing w:after="0"/>
              <w:rPr>
                <w:sz w:val="20"/>
                <w:szCs w:val="20"/>
                <w:color w:val="auto"/>
              </w:rPr>
            </w:pPr>
            <w:r>
              <w:rPr>
                <w:rFonts w:ascii="Arial" w:cs="Arial" w:eastAsia="Arial" w:hAnsi="Arial"/>
                <w:sz w:val="16"/>
                <w:szCs w:val="16"/>
                <w:color w:val="auto"/>
              </w:rPr>
              <w:t>Prepaid expenses and other current assets</w:t>
            </w:r>
          </w:p>
        </w:tc>
        <w:tc>
          <w:tcPr>
            <w:tcW w:w="3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2,076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1,575</w:t>
            </w:r>
          </w:p>
        </w:tc>
      </w:tr>
      <w:tr>
        <w:trPr>
          <w:trHeight w:val="206"/>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Settlement assets</w:t>
            </w:r>
          </w:p>
        </w:tc>
        <w:tc>
          <w:tcPr>
            <w:tcW w:w="32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14,821</w:t>
            </w: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21,482</w:t>
            </w:r>
          </w:p>
        </w:tc>
      </w:tr>
      <w:tr>
        <w:trPr>
          <w:trHeight w:val="206"/>
        </w:trPr>
        <w:tc>
          <w:tcPr>
            <w:tcW w:w="7820" w:type="dxa"/>
            <w:vAlign w:val="bottom"/>
          </w:tcPr>
          <w:p>
            <w:pPr>
              <w:ind w:left="220"/>
              <w:spacing w:after="0"/>
              <w:rPr>
                <w:sz w:val="20"/>
                <w:szCs w:val="20"/>
                <w:color w:val="auto"/>
              </w:rPr>
            </w:pPr>
            <w:r>
              <w:rPr>
                <w:rFonts w:ascii="Arial" w:cs="Arial" w:eastAsia="Arial" w:hAnsi="Arial"/>
                <w:sz w:val="16"/>
                <w:szCs w:val="16"/>
                <w:color w:val="auto"/>
              </w:rPr>
              <w:t>Total current assets</w:t>
            </w:r>
          </w:p>
        </w:tc>
        <w:tc>
          <w:tcPr>
            <w:tcW w:w="3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21,444</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27,544</w:t>
            </w:r>
          </w:p>
        </w:tc>
      </w:tr>
      <w:tr>
        <w:trPr>
          <w:trHeight w:val="219"/>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and equipment, net</w:t>
            </w: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1,958</w:t>
            </w:r>
          </w:p>
        </w:tc>
      </w:tr>
      <w:tr>
        <w:trPr>
          <w:trHeight w:val="213"/>
        </w:trPr>
        <w:tc>
          <w:tcPr>
            <w:tcW w:w="7820" w:type="dxa"/>
            <w:vAlign w:val="bottom"/>
          </w:tcPr>
          <w:p>
            <w:pPr>
              <w:ind w:left="20"/>
              <w:spacing w:after="0"/>
              <w:rPr>
                <w:sz w:val="20"/>
                <w:szCs w:val="20"/>
                <w:color w:val="auto"/>
              </w:rPr>
            </w:pPr>
            <w:r>
              <w:rPr>
                <w:rFonts w:ascii="Arial" w:cs="Arial" w:eastAsia="Arial" w:hAnsi="Arial"/>
                <w:sz w:val="16"/>
                <w:szCs w:val="16"/>
                <w:color w:val="auto"/>
              </w:rPr>
              <w:t>Customer relationships, net</w:t>
            </w:r>
          </w:p>
        </w:tc>
        <w:tc>
          <w:tcPr>
            <w:tcW w:w="3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7,668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8,424</w:t>
            </w:r>
          </w:p>
        </w:tc>
      </w:tr>
      <w:tr>
        <w:trPr>
          <w:trHeight w:val="219"/>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intangible assets, net</w:t>
            </w: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4,111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3,991</w:t>
            </w:r>
          </w:p>
        </w:tc>
      </w:tr>
      <w:tr>
        <w:trPr>
          <w:trHeight w:val="213"/>
        </w:trPr>
        <w:tc>
          <w:tcPr>
            <w:tcW w:w="7820" w:type="dxa"/>
            <w:vAlign w:val="bottom"/>
          </w:tcPr>
          <w:p>
            <w:pPr>
              <w:ind w:left="20"/>
              <w:spacing w:after="0"/>
              <w:rPr>
                <w:sz w:val="20"/>
                <w:szCs w:val="20"/>
                <w:color w:val="auto"/>
              </w:rPr>
            </w:pPr>
            <w:r>
              <w:rPr>
                <w:rFonts w:ascii="Arial" w:cs="Arial" w:eastAsia="Arial" w:hAnsi="Arial"/>
                <w:sz w:val="16"/>
                <w:szCs w:val="16"/>
                <w:color w:val="auto"/>
              </w:rPr>
              <w:t>Goodwill</w:t>
            </w:r>
          </w:p>
        </w:tc>
        <w:tc>
          <w:tcPr>
            <w:tcW w:w="3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37,109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36,811</w:t>
            </w:r>
          </w:p>
        </w:tc>
      </w:tr>
      <w:tr>
        <w:trPr>
          <w:trHeight w:val="219"/>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Contract costs, net</w:t>
            </w: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905</w:t>
            </w:r>
          </w:p>
        </w:tc>
      </w:tr>
      <w:tr>
        <w:trPr>
          <w:trHeight w:val="213"/>
        </w:trPr>
        <w:tc>
          <w:tcPr>
            <w:tcW w:w="7820" w:type="dxa"/>
            <w:vAlign w:val="bottom"/>
          </w:tcPr>
          <w:p>
            <w:pPr>
              <w:ind w:left="20"/>
              <w:spacing w:after="0"/>
              <w:rPr>
                <w:sz w:val="20"/>
                <w:szCs w:val="20"/>
                <w:color w:val="auto"/>
              </w:rPr>
            </w:pPr>
            <w:r>
              <w:rPr>
                <w:rFonts w:ascii="Arial" w:cs="Arial" w:eastAsia="Arial" w:hAnsi="Arial"/>
                <w:sz w:val="16"/>
                <w:szCs w:val="16"/>
                <w:color w:val="auto"/>
              </w:rPr>
              <w:t>Investments in unconsolidated affiliates</w:t>
            </w:r>
          </w:p>
        </w:tc>
        <w:tc>
          <w:tcPr>
            <w:tcW w:w="3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2,316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2,403</w:t>
            </w:r>
          </w:p>
        </w:tc>
      </w:tr>
      <w:tr>
        <w:trPr>
          <w:trHeight w:val="216"/>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long-term assets</w:t>
            </w:r>
          </w:p>
        </w:tc>
        <w:tc>
          <w:tcPr>
            <w:tcW w:w="3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2,008</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1,833</w:t>
            </w:r>
          </w:p>
        </w:tc>
      </w:tr>
      <w:tr>
        <w:trPr>
          <w:trHeight w:val="210"/>
        </w:trPr>
        <w:tc>
          <w:tcPr>
            <w:tcW w:w="7820" w:type="dxa"/>
            <w:vAlign w:val="bottom"/>
          </w:tcPr>
          <w:p>
            <w:pPr>
              <w:ind w:left="220"/>
              <w:spacing w:after="0"/>
              <w:rPr>
                <w:sz w:val="20"/>
                <w:szCs w:val="20"/>
                <w:color w:val="auto"/>
              </w:rPr>
            </w:pPr>
            <w:r>
              <w:rPr>
                <w:rFonts w:ascii="Arial" w:cs="Arial" w:eastAsia="Arial" w:hAnsi="Arial"/>
                <w:sz w:val="16"/>
                <w:szCs w:val="16"/>
                <w:color w:val="auto"/>
              </w:rPr>
              <w:t>Total assets</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77,599</w:t>
            </w:r>
          </w:p>
        </w:tc>
        <w:tc>
          <w:tcPr>
            <w:tcW w:w="3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83,869</w:t>
            </w:r>
          </w:p>
        </w:tc>
      </w:tr>
      <w:tr>
        <w:trPr>
          <w:trHeight w:val="20"/>
        </w:trPr>
        <w:tc>
          <w:tcPr>
            <w:tcW w:w="782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r>
        <w:trPr>
          <w:trHeight w:val="186"/>
        </w:trPr>
        <w:tc>
          <w:tcPr>
            <w:tcW w:w="7820" w:type="dxa"/>
            <w:vAlign w:val="bottom"/>
            <w:shd w:val="clear" w:color="auto" w:fill="CCEEFF"/>
          </w:tcPr>
          <w:p>
            <w:pPr>
              <w:ind w:left="3160"/>
              <w:spacing w:after="0"/>
              <w:rPr>
                <w:sz w:val="20"/>
                <w:szCs w:val="20"/>
                <w:color w:val="auto"/>
              </w:rPr>
            </w:pPr>
            <w:r>
              <w:rPr>
                <w:rFonts w:ascii="Arial" w:cs="Arial" w:eastAsia="Arial" w:hAnsi="Arial"/>
                <w:sz w:val="16"/>
                <w:szCs w:val="16"/>
                <w:b w:val="1"/>
                <w:bCs w:val="1"/>
                <w:color w:val="auto"/>
              </w:rPr>
              <w:t>Liabilities and Equity</w:t>
            </w:r>
          </w:p>
        </w:tc>
        <w:tc>
          <w:tcPr>
            <w:tcW w:w="32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r>
      <w:tr>
        <w:trPr>
          <w:trHeight w:val="213"/>
        </w:trPr>
        <w:tc>
          <w:tcPr>
            <w:tcW w:w="7820" w:type="dxa"/>
            <w:vAlign w:val="bottom"/>
          </w:tcPr>
          <w:p>
            <w:pPr>
              <w:ind w:left="20"/>
              <w:spacing w:after="0"/>
              <w:rPr>
                <w:sz w:val="20"/>
                <w:szCs w:val="20"/>
                <w:color w:val="auto"/>
              </w:rPr>
            </w:pPr>
            <w:r>
              <w:rPr>
                <w:rFonts w:ascii="Arial" w:cs="Arial" w:eastAsia="Arial" w:hAnsi="Arial"/>
                <w:sz w:val="16"/>
                <w:szCs w:val="16"/>
                <w:color w:val="auto"/>
              </w:rPr>
              <w:t>Accounts payable and accrued expenses</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3,359</w:t>
            </w:r>
          </w:p>
        </w:tc>
        <w:tc>
          <w:tcPr>
            <w:tcW w:w="3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3,883</w:t>
            </w:r>
          </w:p>
        </w:tc>
      </w:tr>
      <w:tr>
        <w:trPr>
          <w:trHeight w:val="219"/>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Short-term and current maturities of long-term debt</w:t>
            </w: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468</w:t>
            </w:r>
          </w:p>
        </w:tc>
      </w:tr>
      <w:tr>
        <w:trPr>
          <w:trHeight w:val="213"/>
        </w:trPr>
        <w:tc>
          <w:tcPr>
            <w:tcW w:w="7820" w:type="dxa"/>
            <w:vAlign w:val="bottom"/>
          </w:tcPr>
          <w:p>
            <w:pPr>
              <w:ind w:left="20"/>
              <w:spacing w:after="0"/>
              <w:rPr>
                <w:sz w:val="20"/>
                <w:szCs w:val="20"/>
                <w:color w:val="auto"/>
              </w:rPr>
            </w:pPr>
            <w:r>
              <w:rPr>
                <w:rFonts w:ascii="Arial" w:cs="Arial" w:eastAsia="Arial" w:hAnsi="Arial"/>
                <w:sz w:val="16"/>
                <w:szCs w:val="16"/>
                <w:color w:val="auto"/>
              </w:rPr>
              <w:t>Contract liabilities</w:t>
            </w:r>
          </w:p>
        </w:tc>
        <w:tc>
          <w:tcPr>
            <w:tcW w:w="3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674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625</w:t>
            </w:r>
          </w:p>
        </w:tc>
      </w:tr>
      <w:tr>
        <w:trPr>
          <w:trHeight w:val="219"/>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Settlement obligations</w:t>
            </w:r>
          </w:p>
        </w:tc>
        <w:tc>
          <w:tcPr>
            <w:tcW w:w="3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14,821</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21,482</w:t>
            </w:r>
          </w:p>
        </w:tc>
      </w:tr>
      <w:tr>
        <w:trPr>
          <w:trHeight w:val="207"/>
        </w:trPr>
        <w:tc>
          <w:tcPr>
            <w:tcW w:w="7820" w:type="dxa"/>
            <w:vAlign w:val="bottom"/>
          </w:tcPr>
          <w:p>
            <w:pPr>
              <w:ind w:left="220"/>
              <w:spacing w:after="0"/>
              <w:rPr>
                <w:sz w:val="20"/>
                <w:szCs w:val="20"/>
                <w:color w:val="auto"/>
              </w:rPr>
            </w:pPr>
            <w:r>
              <w:rPr>
                <w:rFonts w:ascii="Arial" w:cs="Arial" w:eastAsia="Arial" w:hAnsi="Arial"/>
                <w:sz w:val="16"/>
                <w:szCs w:val="16"/>
                <w:color w:val="auto"/>
              </w:rPr>
              <w:t>Total current liabilities</w:t>
            </w:r>
          </w:p>
        </w:tc>
        <w:tc>
          <w:tcPr>
            <w:tcW w:w="3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19,462</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26,458</w:t>
            </w:r>
          </w:p>
        </w:tc>
      </w:tr>
      <w:tr>
        <w:trPr>
          <w:trHeight w:val="219"/>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Long-term debt</w:t>
            </w: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22,595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20,950</w:t>
            </w:r>
          </w:p>
        </w:tc>
      </w:tr>
      <w:tr>
        <w:trPr>
          <w:trHeight w:val="213"/>
        </w:trPr>
        <w:tc>
          <w:tcPr>
            <w:tcW w:w="7820" w:type="dxa"/>
            <w:vAlign w:val="bottom"/>
          </w:tcPr>
          <w:p>
            <w:pPr>
              <w:ind w:left="20"/>
              <w:spacing w:after="0"/>
              <w:rPr>
                <w:sz w:val="20"/>
                <w:szCs w:val="20"/>
                <w:color w:val="auto"/>
              </w:rPr>
            </w:pPr>
            <w:r>
              <w:rPr>
                <w:rFonts w:ascii="Arial" w:cs="Arial" w:eastAsia="Arial" w:hAnsi="Arial"/>
                <w:sz w:val="16"/>
                <w:szCs w:val="16"/>
                <w:color w:val="auto"/>
              </w:rPr>
              <w:t>Deferred income taxes</w:t>
            </w:r>
          </w:p>
        </w:tc>
        <w:tc>
          <w:tcPr>
            <w:tcW w:w="3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3,400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3,602</w:t>
            </w:r>
          </w:p>
        </w:tc>
      </w:tr>
      <w:tr>
        <w:trPr>
          <w:trHeight w:val="219"/>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Long-term contract liabilities</w:t>
            </w: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235</w:t>
            </w:r>
          </w:p>
        </w:tc>
      </w:tr>
      <w:tr>
        <w:trPr>
          <w:trHeight w:val="213"/>
        </w:trPr>
        <w:tc>
          <w:tcPr>
            <w:tcW w:w="78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long-term liabilities</w:t>
            </w:r>
          </w:p>
        </w:tc>
        <w:tc>
          <w:tcPr>
            <w:tcW w:w="3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1,021</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936</w:t>
            </w:r>
          </w:p>
        </w:tc>
      </w:tr>
      <w:tr>
        <w:trPr>
          <w:trHeight w:val="213"/>
        </w:trPr>
        <w:tc>
          <w:tcPr>
            <w:tcW w:w="78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liabilities</w:t>
            </w:r>
          </w:p>
        </w:tc>
        <w:tc>
          <w:tcPr>
            <w:tcW w:w="3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46,722</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52,181</w:t>
            </w:r>
          </w:p>
        </w:tc>
      </w:tr>
      <w:tr>
        <w:trPr>
          <w:trHeight w:val="193"/>
        </w:trPr>
        <w:tc>
          <w:tcPr>
            <w:tcW w:w="7820" w:type="dxa"/>
            <w:vAlign w:val="bottom"/>
          </w:tcPr>
          <w:p>
            <w:pPr>
              <w:ind w:left="20"/>
              <w:spacing w:after="0"/>
              <w:rPr>
                <w:sz w:val="20"/>
                <w:szCs w:val="20"/>
                <w:color w:val="auto"/>
              </w:rPr>
            </w:pPr>
            <w:r>
              <w:rPr>
                <w:rFonts w:ascii="Arial" w:cs="Arial" w:eastAsia="Arial" w:hAnsi="Arial"/>
                <w:sz w:val="16"/>
                <w:szCs w:val="16"/>
                <w:color w:val="auto"/>
              </w:rPr>
              <w:t>Commitments and Contingencies (see Note 17)</w:t>
            </w:r>
          </w:p>
        </w:tc>
        <w:tc>
          <w:tcPr>
            <w:tcW w:w="3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219"/>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Redeemable Noncontrolling Interests</w:t>
            </w: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w:t>
            </w:r>
          </w:p>
        </w:tc>
      </w:tr>
      <w:tr>
        <w:trPr>
          <w:trHeight w:val="213"/>
        </w:trPr>
        <w:tc>
          <w:tcPr>
            <w:tcW w:w="7820" w:type="dxa"/>
            <w:vAlign w:val="bottom"/>
          </w:tcPr>
          <w:p>
            <w:pPr>
              <w:ind w:left="20"/>
              <w:spacing w:after="0"/>
              <w:rPr>
                <w:sz w:val="20"/>
                <w:szCs w:val="20"/>
                <w:color w:val="auto"/>
              </w:rPr>
            </w:pPr>
            <w:r>
              <w:rPr>
                <w:rFonts w:ascii="Arial" w:cs="Arial" w:eastAsia="Arial" w:hAnsi="Arial"/>
                <w:sz w:val="16"/>
                <w:szCs w:val="16"/>
                <w:color w:val="auto"/>
              </w:rPr>
              <w:t>Fiserv, Inc. Shareholders’ Equity:</w:t>
            </w:r>
          </w:p>
        </w:tc>
        <w:tc>
          <w:tcPr>
            <w:tcW w:w="3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9"/>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Preferred stock, no par value: 25 million shares authorized; none issued</w:t>
            </w: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7820" w:type="dxa"/>
            <w:vAlign w:val="bottom"/>
          </w:tcPr>
          <w:p>
            <w:pPr>
              <w:ind w:left="20"/>
              <w:spacing w:after="0"/>
              <w:rPr>
                <w:sz w:val="20"/>
                <w:szCs w:val="20"/>
                <w:color w:val="auto"/>
              </w:rPr>
            </w:pPr>
            <w:r>
              <w:rPr>
                <w:rFonts w:ascii="Arial" w:cs="Arial" w:eastAsia="Arial" w:hAnsi="Arial"/>
                <w:sz w:val="16"/>
                <w:szCs w:val="16"/>
                <w:color w:val="auto"/>
              </w:rPr>
              <w:t>Common stock, $0.01 par value: 1,800 million shares authorized; 784 million shares issued</w:t>
            </w:r>
          </w:p>
        </w:tc>
        <w:tc>
          <w:tcPr>
            <w:tcW w:w="3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8</w:t>
            </w:r>
          </w:p>
        </w:tc>
      </w:tr>
      <w:tr>
        <w:trPr>
          <w:trHeight w:val="219"/>
        </w:trPr>
        <w:tc>
          <w:tcPr>
            <w:tcW w:w="78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Additional paid-in capital</w:t>
            </w: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22,988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23,011</w:t>
            </w:r>
          </w:p>
        </w:tc>
      </w:tr>
      <w:tr>
        <w:trPr>
          <w:trHeight w:val="213"/>
        </w:trPr>
        <w:tc>
          <w:tcPr>
            <w:tcW w:w="7820" w:type="dxa"/>
            <w:vAlign w:val="bottom"/>
          </w:tcPr>
          <w:p>
            <w:pPr>
              <w:ind w:left="220"/>
              <w:spacing w:after="0"/>
              <w:rPr>
                <w:sz w:val="20"/>
                <w:szCs w:val="20"/>
                <w:color w:val="auto"/>
              </w:rPr>
            </w:pPr>
            <w:r>
              <w:rPr>
                <w:rFonts w:ascii="Arial" w:cs="Arial" w:eastAsia="Arial" w:hAnsi="Arial"/>
                <w:sz w:val="16"/>
                <w:szCs w:val="16"/>
                <w:color w:val="auto"/>
              </w:rPr>
              <w:t>Accumulated other comprehensive loss</w:t>
            </w:r>
          </w:p>
        </w:tc>
        <w:tc>
          <w:tcPr>
            <w:tcW w:w="3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(900)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(1,189)</w:t>
            </w:r>
          </w:p>
        </w:tc>
      </w:tr>
      <w:tr>
        <w:trPr>
          <w:trHeight w:val="219"/>
        </w:trPr>
        <w:tc>
          <w:tcPr>
            <w:tcW w:w="78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Retained earnings</w:t>
            </w: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18,622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17,376</w:t>
            </w:r>
          </w:p>
        </w:tc>
      </w:tr>
      <w:tr>
        <w:trPr>
          <w:trHeight w:val="213"/>
        </w:trPr>
        <w:tc>
          <w:tcPr>
            <w:tcW w:w="7820" w:type="dxa"/>
            <w:vAlign w:val="bottom"/>
          </w:tcPr>
          <w:p>
            <w:pPr>
              <w:ind w:left="20"/>
              <w:spacing w:after="0"/>
              <w:rPr>
                <w:sz w:val="20"/>
                <w:szCs w:val="20"/>
                <w:color w:val="auto"/>
              </w:rPr>
            </w:pPr>
            <w:r>
              <w:rPr>
                <w:rFonts w:ascii="Arial" w:cs="Arial" w:eastAsia="Arial" w:hAnsi="Arial"/>
                <w:sz w:val="16"/>
                <w:szCs w:val="16"/>
                <w:color w:val="auto"/>
              </w:rPr>
              <w:t>Treasury stock, at cost, 173 million and 154 million shares, respectively</w:t>
            </w:r>
          </w:p>
        </w:tc>
        <w:tc>
          <w:tcPr>
            <w:tcW w:w="3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(10,727)</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(8,378)</w:t>
            </w:r>
          </w:p>
        </w:tc>
      </w:tr>
      <w:tr>
        <w:trPr>
          <w:trHeight w:val="209"/>
        </w:trPr>
        <w:tc>
          <w:tcPr>
            <w:tcW w:w="78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Total Fiserv, Inc. shareholders’ equity</w:t>
            </w:r>
          </w:p>
        </w:tc>
        <w:tc>
          <w:tcPr>
            <w:tcW w:w="3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29,991</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30,828</w:t>
            </w:r>
          </w:p>
        </w:tc>
      </w:tr>
      <w:tr>
        <w:trPr>
          <w:trHeight w:val="210"/>
        </w:trPr>
        <w:tc>
          <w:tcPr>
            <w:tcW w:w="7820" w:type="dxa"/>
            <w:vAlign w:val="bottom"/>
          </w:tcPr>
          <w:p>
            <w:pPr>
              <w:ind w:left="20"/>
              <w:spacing w:after="0"/>
              <w:rPr>
                <w:sz w:val="20"/>
                <w:szCs w:val="20"/>
                <w:color w:val="auto"/>
              </w:rPr>
            </w:pPr>
            <w:r>
              <w:rPr>
                <w:rFonts w:ascii="Arial" w:cs="Arial" w:eastAsia="Arial" w:hAnsi="Arial"/>
                <w:sz w:val="16"/>
                <w:szCs w:val="16"/>
                <w:color w:val="auto"/>
              </w:rPr>
              <w:t>Noncontrolling interests</w:t>
            </w:r>
          </w:p>
        </w:tc>
        <w:tc>
          <w:tcPr>
            <w:tcW w:w="3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725</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699</w:t>
            </w:r>
          </w:p>
        </w:tc>
      </w:tr>
      <w:tr>
        <w:trPr>
          <w:trHeight w:val="210"/>
        </w:trPr>
        <w:tc>
          <w:tcPr>
            <w:tcW w:w="78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 equity</w:t>
            </w:r>
          </w:p>
        </w:tc>
        <w:tc>
          <w:tcPr>
            <w:tcW w:w="3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30,716</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31,527</w:t>
            </w:r>
          </w:p>
        </w:tc>
      </w:tr>
      <w:tr>
        <w:trPr>
          <w:trHeight w:val="209"/>
        </w:trPr>
        <w:tc>
          <w:tcPr>
            <w:tcW w:w="7820" w:type="dxa"/>
            <w:vAlign w:val="bottom"/>
          </w:tcPr>
          <w:p>
            <w:pPr>
              <w:ind w:left="220"/>
              <w:spacing w:after="0"/>
              <w:rPr>
                <w:sz w:val="20"/>
                <w:szCs w:val="20"/>
                <w:color w:val="auto"/>
              </w:rPr>
            </w:pPr>
            <w:r>
              <w:rPr>
                <w:rFonts w:ascii="Arial" w:cs="Arial" w:eastAsia="Arial" w:hAnsi="Arial"/>
                <w:sz w:val="16"/>
                <w:szCs w:val="16"/>
                <w:color w:val="auto"/>
              </w:rPr>
              <w:t>Total liabilities and equity</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77,599</w:t>
            </w:r>
          </w:p>
        </w:tc>
        <w:tc>
          <w:tcPr>
            <w:tcW w:w="3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83,869</w:t>
            </w:r>
          </w:p>
        </w:tc>
      </w:tr>
      <w:tr>
        <w:trPr>
          <w:trHeight w:val="24"/>
        </w:trPr>
        <w:tc>
          <w:tcPr>
            <w:tcW w:w="7820" w:type="dxa"/>
            <w:vAlign w:val="bottom"/>
          </w:tcPr>
          <w:p>
            <w:pPr>
              <w:spacing w:after="0"/>
              <w:rPr>
                <w:sz w:val="2"/>
                <w:szCs w:val="2"/>
                <w:color w:val="auto"/>
              </w:rPr>
            </w:pPr>
          </w:p>
        </w:tc>
        <w:tc>
          <w:tcPr>
            <w:tcW w:w="320" w:type="dxa"/>
            <w:vAlign w:val="bottom"/>
            <w:tcBorders>
              <w:top w:val="single" w:sz="8" w:color="auto"/>
              <w:bottom w:val="single" w:sz="8" w:color="auto"/>
            </w:tcBorders>
          </w:tcPr>
          <w:p>
            <w:pPr>
              <w:spacing w:after="0"/>
              <w:rPr>
                <w:sz w:val="2"/>
                <w:szCs w:val="2"/>
                <w:color w:val="auto"/>
              </w:rPr>
            </w:pPr>
          </w:p>
        </w:tc>
        <w:tc>
          <w:tcPr>
            <w:tcW w:w="134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top w:val="single" w:sz="8" w:color="auto"/>
              <w:bottom w:val="single" w:sz="8" w:color="auto"/>
            </w:tcBorders>
          </w:tcPr>
          <w:p>
            <w:pPr>
              <w:spacing w:after="0"/>
              <w:rPr>
                <w:sz w:val="2"/>
                <w:szCs w:val="2"/>
                <w:color w:val="auto"/>
              </w:rPr>
            </w:pPr>
          </w:p>
        </w:tc>
        <w:tc>
          <w:tcPr>
            <w:tcW w:w="1420" w:type="dxa"/>
            <w:vAlign w:val="bottom"/>
            <w:tcBorders>
              <w:top w:val="single" w:sz="8" w:color="auto"/>
              <w:bottom w:val="single" w:sz="8" w:color="auto"/>
            </w:tcBorders>
          </w:tcPr>
          <w:p>
            <w:pPr>
              <w:spacing w:after="0"/>
              <w:rPr>
                <w:sz w:val="2"/>
                <w:szCs w:val="2"/>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Fiserv,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Consolidated Statements of Cash Flows</w:t>
      </w:r>
    </w:p>
    <w:p>
      <w:pPr>
        <w:spacing w:after="0" w:line="8" w:lineRule="exact"/>
        <w:rPr>
          <w:sz w:val="20"/>
          <w:szCs w:val="20"/>
          <w:color w:val="auto"/>
        </w:rPr>
      </w:pPr>
    </w:p>
    <w:p>
      <w:pPr>
        <w:ind w:left="5220"/>
        <w:spacing w:after="0"/>
        <w:rPr>
          <w:sz w:val="20"/>
          <w:szCs w:val="20"/>
          <w:color w:val="auto"/>
        </w:rPr>
      </w:pPr>
      <w:r>
        <w:rPr>
          <w:rFonts w:ascii="Arial" w:cs="Arial" w:eastAsia="Arial" w:hAnsi="Arial"/>
          <w:sz w:val="16"/>
          <w:szCs w:val="16"/>
          <w:color w:val="auto"/>
        </w:rPr>
        <w:t>(In millions)</w:t>
      </w:r>
    </w:p>
    <w:p>
      <w:pPr>
        <w:spacing w:after="0" w:line="15" w:lineRule="exact"/>
        <w:rPr>
          <w:sz w:val="20"/>
          <w:szCs w:val="20"/>
          <w:color w:val="auto"/>
        </w:rPr>
      </w:pPr>
    </w:p>
    <w:p>
      <w:pPr>
        <w:ind w:left="5240"/>
        <w:spacing w:after="0"/>
        <w:rPr>
          <w:sz w:val="20"/>
          <w:szCs w:val="20"/>
          <w:color w:val="auto"/>
        </w:rPr>
      </w:pPr>
      <w:r>
        <w:rPr>
          <w:rFonts w:ascii="Arial" w:cs="Arial" w:eastAsia="Arial" w:hAnsi="Arial"/>
          <w:sz w:val="16"/>
          <w:szCs w:val="16"/>
          <w:color w:val="auto"/>
        </w:rPr>
        <w:t>(Unaudited)</w:t>
      </w:r>
    </w:p>
    <w:p>
      <w:pPr>
        <w:spacing w:after="0" w:line="118" w:lineRule="exact"/>
        <w:rPr>
          <w:sz w:val="20"/>
          <w:szCs w:val="20"/>
          <w:color w:val="auto"/>
        </w:rPr>
      </w:pPr>
    </w:p>
    <w:p>
      <w:pPr>
        <w:jc w:val="center"/>
        <w:ind w:left="7740"/>
        <w:spacing w:after="0"/>
        <w:rPr>
          <w:sz w:val="20"/>
          <w:szCs w:val="20"/>
          <w:color w:val="auto"/>
        </w:rPr>
      </w:pPr>
      <w:r>
        <w:rPr>
          <w:rFonts w:ascii="Arial" w:cs="Arial" w:eastAsia="Arial" w:hAnsi="Arial"/>
          <w:sz w:val="16"/>
          <w:szCs w:val="16"/>
          <w:b w:val="1"/>
          <w:bCs w:val="1"/>
          <w:color w:val="auto"/>
        </w:rPr>
        <w:t>Six Months Ended</w:t>
      </w:r>
    </w:p>
    <w:p>
      <w:pPr>
        <w:jc w:val="center"/>
        <w:ind w:left="7740"/>
        <w:spacing w:after="0"/>
        <w:rPr>
          <w:sz w:val="20"/>
          <w:szCs w:val="20"/>
          <w:color w:val="auto"/>
        </w:rPr>
      </w:pPr>
      <w:r>
        <w:rPr>
          <w:rFonts w:ascii="Arial" w:cs="Arial" w:eastAsia="Arial" w:hAnsi="Arial"/>
          <w:sz w:val="16"/>
          <w:szCs w:val="16"/>
          <w:b w:val="1"/>
          <w:bCs w:val="1"/>
          <w:color w:val="auto"/>
        </w:rPr>
        <w:t>June 30,</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800" w:type="dxa"/>
            <w:vAlign w:val="bottom"/>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58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2022</w:t>
            </w:r>
          </w:p>
        </w:tc>
      </w:tr>
      <w:tr>
        <w:trPr>
          <w:trHeight w:val="212"/>
        </w:trPr>
        <w:tc>
          <w:tcPr>
            <w:tcW w:w="78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10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13"/>
        </w:trPr>
        <w:tc>
          <w:tcPr>
            <w:tcW w:w="780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1060" w:type="dxa"/>
            <w:vAlign w:val="bottom"/>
          </w:tcPr>
          <w:p>
            <w:pPr>
              <w:jc w:val="right"/>
              <w:ind w:right="879"/>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1,271</w:t>
            </w:r>
          </w:p>
        </w:tc>
        <w:tc>
          <w:tcPr>
            <w:tcW w:w="5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1,291</w:t>
            </w:r>
          </w:p>
        </w:tc>
      </w:tr>
      <w:tr>
        <w:trPr>
          <w:trHeight w:val="219"/>
        </w:trPr>
        <w:tc>
          <w:tcPr>
            <w:tcW w:w="7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10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13"/>
        </w:trPr>
        <w:tc>
          <w:tcPr>
            <w:tcW w:w="7800" w:type="dxa"/>
            <w:vAlign w:val="bottom"/>
          </w:tcPr>
          <w:p>
            <w:pPr>
              <w:ind w:left="360"/>
              <w:spacing w:after="0"/>
              <w:rPr>
                <w:sz w:val="20"/>
                <w:szCs w:val="20"/>
                <w:color w:val="auto"/>
              </w:rPr>
            </w:pPr>
            <w:r>
              <w:rPr>
                <w:rFonts w:ascii="Arial" w:cs="Arial" w:eastAsia="Arial" w:hAnsi="Arial"/>
                <w:sz w:val="16"/>
                <w:szCs w:val="16"/>
                <w:color w:val="auto"/>
              </w:rPr>
              <w:t>Depreciation and other amortization</w:t>
            </w:r>
          </w:p>
        </w:tc>
        <w:tc>
          <w:tcPr>
            <w:tcW w:w="10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717</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642</w:t>
            </w:r>
          </w:p>
        </w:tc>
      </w:tr>
      <w:tr>
        <w:trPr>
          <w:trHeight w:val="219"/>
        </w:trPr>
        <w:tc>
          <w:tcPr>
            <w:tcW w:w="78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Amortization of acquisition-related intangible assets</w:t>
            </w:r>
          </w:p>
        </w:tc>
        <w:tc>
          <w:tcPr>
            <w:tcW w:w="10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868</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966</w:t>
            </w:r>
          </w:p>
        </w:tc>
      </w:tr>
      <w:tr>
        <w:trPr>
          <w:trHeight w:val="213"/>
        </w:trPr>
        <w:tc>
          <w:tcPr>
            <w:tcW w:w="7800" w:type="dxa"/>
            <w:vAlign w:val="bottom"/>
          </w:tcPr>
          <w:p>
            <w:pPr>
              <w:ind w:left="360"/>
              <w:spacing w:after="0"/>
              <w:rPr>
                <w:sz w:val="20"/>
                <w:szCs w:val="20"/>
                <w:color w:val="auto"/>
              </w:rPr>
            </w:pPr>
            <w:r>
              <w:rPr>
                <w:rFonts w:ascii="Arial" w:cs="Arial" w:eastAsia="Arial" w:hAnsi="Arial"/>
                <w:sz w:val="16"/>
                <w:szCs w:val="16"/>
                <w:color w:val="auto"/>
              </w:rPr>
              <w:t>Amortization of financing costs and debt discounts</w:t>
            </w:r>
          </w:p>
        </w:tc>
        <w:tc>
          <w:tcPr>
            <w:tcW w:w="10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20</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22</w:t>
            </w:r>
          </w:p>
        </w:tc>
      </w:tr>
      <w:tr>
        <w:trPr>
          <w:trHeight w:val="219"/>
        </w:trPr>
        <w:tc>
          <w:tcPr>
            <w:tcW w:w="78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Share-based compensation</w:t>
            </w:r>
          </w:p>
        </w:tc>
        <w:tc>
          <w:tcPr>
            <w:tcW w:w="10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w:t>
            </w:r>
          </w:p>
        </w:tc>
      </w:tr>
      <w:tr>
        <w:trPr>
          <w:trHeight w:val="213"/>
        </w:trPr>
        <w:tc>
          <w:tcPr>
            <w:tcW w:w="7800" w:type="dxa"/>
            <w:vAlign w:val="bottom"/>
          </w:tcPr>
          <w:p>
            <w:pPr>
              <w:ind w:left="360"/>
              <w:spacing w:after="0"/>
              <w:rPr>
                <w:sz w:val="20"/>
                <w:szCs w:val="20"/>
                <w:color w:val="auto"/>
              </w:rPr>
            </w:pPr>
            <w:r>
              <w:rPr>
                <w:rFonts w:ascii="Arial" w:cs="Arial" w:eastAsia="Arial" w:hAnsi="Arial"/>
                <w:sz w:val="16"/>
                <w:szCs w:val="16"/>
                <w:color w:val="auto"/>
              </w:rPr>
              <w:t>Deferred income taxes</w:t>
            </w:r>
          </w:p>
        </w:tc>
        <w:tc>
          <w:tcPr>
            <w:tcW w:w="10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(186)</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(317)</w:t>
            </w:r>
          </w:p>
        </w:tc>
      </w:tr>
      <w:tr>
        <w:trPr>
          <w:trHeight w:val="219"/>
        </w:trPr>
        <w:tc>
          <w:tcPr>
            <w:tcW w:w="78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Net loss (gain) on sale of businesses and other assets</w:t>
            </w:r>
          </w:p>
        </w:tc>
        <w:tc>
          <w:tcPr>
            <w:tcW w:w="10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w:t>
            </w:r>
          </w:p>
        </w:tc>
      </w:tr>
      <w:tr>
        <w:trPr>
          <w:trHeight w:val="213"/>
        </w:trPr>
        <w:tc>
          <w:tcPr>
            <w:tcW w:w="7800" w:type="dxa"/>
            <w:vAlign w:val="bottom"/>
          </w:tcPr>
          <w:p>
            <w:pPr>
              <w:ind w:left="360"/>
              <w:spacing w:after="0"/>
              <w:rPr>
                <w:sz w:val="20"/>
                <w:szCs w:val="20"/>
                <w:color w:val="auto"/>
              </w:rPr>
            </w:pPr>
            <w:r>
              <w:rPr>
                <w:rFonts w:ascii="Arial" w:cs="Arial" w:eastAsia="Arial" w:hAnsi="Arial"/>
                <w:sz w:val="16"/>
                <w:szCs w:val="16"/>
                <w:color w:val="auto"/>
              </w:rPr>
              <w:t>Loss (income) from investments in unconsolidated affiliates</w:t>
            </w:r>
          </w:p>
        </w:tc>
        <w:tc>
          <w:tcPr>
            <w:tcW w:w="10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(234)</w:t>
            </w:r>
          </w:p>
        </w:tc>
      </w:tr>
      <w:tr>
        <w:trPr>
          <w:trHeight w:val="219"/>
        </w:trPr>
        <w:tc>
          <w:tcPr>
            <w:tcW w:w="78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Distributions from unconsolidated affiliates</w:t>
            </w:r>
          </w:p>
        </w:tc>
        <w:tc>
          <w:tcPr>
            <w:tcW w:w="10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w:t>
            </w:r>
          </w:p>
        </w:tc>
      </w:tr>
      <w:tr>
        <w:trPr>
          <w:trHeight w:val="213"/>
        </w:trPr>
        <w:tc>
          <w:tcPr>
            <w:tcW w:w="7800" w:type="dxa"/>
            <w:vAlign w:val="bottom"/>
          </w:tcPr>
          <w:p>
            <w:pPr>
              <w:ind w:left="360"/>
              <w:spacing w:after="0"/>
              <w:rPr>
                <w:sz w:val="20"/>
                <w:szCs w:val="20"/>
                <w:color w:val="auto"/>
              </w:rPr>
            </w:pPr>
            <w:r>
              <w:rPr>
                <w:rFonts w:ascii="Arial" w:cs="Arial" w:eastAsia="Arial" w:hAnsi="Arial"/>
                <w:sz w:val="16"/>
                <w:szCs w:val="16"/>
                <w:color w:val="auto"/>
              </w:rPr>
              <w:t>Other operating activities</w:t>
            </w:r>
          </w:p>
        </w:tc>
        <w:tc>
          <w:tcPr>
            <w:tcW w:w="10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19"/>
        </w:trPr>
        <w:tc>
          <w:tcPr>
            <w:tcW w:w="78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Changes in assets and liabilities, net of effects from acquisitions and dispositions:</w:t>
            </w:r>
          </w:p>
        </w:tc>
        <w:tc>
          <w:tcPr>
            <w:tcW w:w="10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13"/>
        </w:trPr>
        <w:tc>
          <w:tcPr>
            <w:tcW w:w="7800" w:type="dxa"/>
            <w:vAlign w:val="bottom"/>
          </w:tcPr>
          <w:p>
            <w:pPr>
              <w:ind w:left="680"/>
              <w:spacing w:after="0"/>
              <w:rPr>
                <w:sz w:val="20"/>
                <w:szCs w:val="20"/>
                <w:color w:val="auto"/>
              </w:rPr>
            </w:pPr>
            <w:r>
              <w:rPr>
                <w:rFonts w:ascii="Arial" w:cs="Arial" w:eastAsia="Arial" w:hAnsi="Arial"/>
                <w:sz w:val="16"/>
                <w:szCs w:val="16"/>
                <w:color w:val="auto"/>
              </w:rPr>
              <w:t>Trade accounts receivable</w:t>
            </w:r>
          </w:p>
        </w:tc>
        <w:tc>
          <w:tcPr>
            <w:tcW w:w="10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131</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(363)</w:t>
            </w:r>
          </w:p>
        </w:tc>
      </w:tr>
      <w:tr>
        <w:trPr>
          <w:trHeight w:val="219"/>
        </w:trPr>
        <w:tc>
          <w:tcPr>
            <w:tcW w:w="7800" w:type="dxa"/>
            <w:vAlign w:val="bottom"/>
            <w:shd w:val="clear" w:color="auto" w:fill="CCEEFF"/>
          </w:tcPr>
          <w:p>
            <w:pPr>
              <w:ind w:left="680"/>
              <w:spacing w:after="0"/>
              <w:rPr>
                <w:sz w:val="20"/>
                <w:szCs w:val="20"/>
                <w:color w:val="auto"/>
              </w:rPr>
            </w:pPr>
            <w:r>
              <w:rPr>
                <w:rFonts w:ascii="Arial" w:cs="Arial" w:eastAsia="Arial" w:hAnsi="Arial"/>
                <w:sz w:val="16"/>
                <w:szCs w:val="16"/>
                <w:color w:val="auto"/>
              </w:rPr>
              <w:t>Prepaid expenses and other assets</w:t>
            </w:r>
          </w:p>
        </w:tc>
        <w:tc>
          <w:tcPr>
            <w:tcW w:w="10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(224)</w:t>
            </w:r>
          </w:p>
        </w:tc>
      </w:tr>
      <w:tr>
        <w:trPr>
          <w:trHeight w:val="213"/>
        </w:trPr>
        <w:tc>
          <w:tcPr>
            <w:tcW w:w="7800" w:type="dxa"/>
            <w:vAlign w:val="bottom"/>
          </w:tcPr>
          <w:p>
            <w:pPr>
              <w:ind w:left="680"/>
              <w:spacing w:after="0"/>
              <w:rPr>
                <w:sz w:val="20"/>
                <w:szCs w:val="20"/>
                <w:color w:val="auto"/>
              </w:rPr>
            </w:pPr>
            <w:r>
              <w:rPr>
                <w:rFonts w:ascii="Arial" w:cs="Arial" w:eastAsia="Arial" w:hAnsi="Arial"/>
                <w:sz w:val="16"/>
                <w:szCs w:val="16"/>
                <w:color w:val="auto"/>
              </w:rPr>
              <w:t>Contract costs</w:t>
            </w:r>
          </w:p>
        </w:tc>
        <w:tc>
          <w:tcPr>
            <w:tcW w:w="10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(116)</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(154)</w:t>
            </w:r>
          </w:p>
        </w:tc>
      </w:tr>
      <w:tr>
        <w:trPr>
          <w:trHeight w:val="219"/>
        </w:trPr>
        <w:tc>
          <w:tcPr>
            <w:tcW w:w="7800" w:type="dxa"/>
            <w:vAlign w:val="bottom"/>
            <w:shd w:val="clear" w:color="auto" w:fill="CCEEFF"/>
          </w:tcPr>
          <w:p>
            <w:pPr>
              <w:ind w:left="680"/>
              <w:spacing w:after="0"/>
              <w:rPr>
                <w:sz w:val="20"/>
                <w:szCs w:val="20"/>
                <w:color w:val="auto"/>
              </w:rPr>
            </w:pPr>
            <w:r>
              <w:rPr>
                <w:rFonts w:ascii="Arial" w:cs="Arial" w:eastAsia="Arial" w:hAnsi="Arial"/>
                <w:sz w:val="16"/>
                <w:szCs w:val="16"/>
                <w:color w:val="auto"/>
              </w:rPr>
              <w:t>Accounts payable and other liabilities</w:t>
            </w:r>
          </w:p>
        </w:tc>
        <w:tc>
          <w:tcPr>
            <w:tcW w:w="10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(573)</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w:t>
            </w:r>
          </w:p>
        </w:tc>
      </w:tr>
      <w:tr>
        <w:trPr>
          <w:trHeight w:val="213"/>
        </w:trPr>
        <w:tc>
          <w:tcPr>
            <w:tcW w:w="7800" w:type="dxa"/>
            <w:vAlign w:val="bottom"/>
            <w:tcBorders>
              <w:bottom w:val="single" w:sz="8" w:color="CCEEFF"/>
            </w:tcBorders>
          </w:tcPr>
          <w:p>
            <w:pPr>
              <w:ind w:left="680"/>
              <w:spacing w:after="0"/>
              <w:rPr>
                <w:sz w:val="20"/>
                <w:szCs w:val="20"/>
                <w:color w:val="auto"/>
              </w:rPr>
            </w:pPr>
            <w:r>
              <w:rPr>
                <w:rFonts w:ascii="Arial" w:cs="Arial" w:eastAsia="Arial" w:hAnsi="Arial"/>
                <w:sz w:val="16"/>
                <w:szCs w:val="16"/>
                <w:color w:val="auto"/>
              </w:rPr>
              <w:t>Contract liabilities</w:t>
            </w:r>
          </w:p>
        </w:tc>
        <w:tc>
          <w:tcPr>
            <w:tcW w:w="10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w:t>
            </w:r>
          </w:p>
        </w:tc>
      </w:tr>
      <w:tr>
        <w:trPr>
          <w:trHeight w:val="212"/>
        </w:trPr>
        <w:tc>
          <w:tcPr>
            <w:tcW w:w="7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10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2,008</w:t>
            </w:r>
          </w:p>
        </w:tc>
        <w:tc>
          <w:tcPr>
            <w:tcW w:w="1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1,805</w:t>
            </w:r>
          </w:p>
        </w:tc>
      </w:tr>
      <w:tr>
        <w:trPr>
          <w:trHeight w:val="193"/>
        </w:trPr>
        <w:tc>
          <w:tcPr>
            <w:tcW w:w="7800" w:type="dxa"/>
            <w:vAlign w:val="bottom"/>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10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19"/>
        </w:trPr>
        <w:tc>
          <w:tcPr>
            <w:tcW w:w="7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Capital expenditures, including capitalized software and other intangibles</w:t>
            </w:r>
          </w:p>
        </w:tc>
        <w:tc>
          <w:tcPr>
            <w:tcW w:w="10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(679)</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(718)</w:t>
            </w:r>
          </w:p>
        </w:tc>
      </w:tr>
      <w:tr>
        <w:trPr>
          <w:trHeight w:val="213"/>
        </w:trPr>
        <w:tc>
          <w:tcPr>
            <w:tcW w:w="7800" w:type="dxa"/>
            <w:vAlign w:val="bottom"/>
          </w:tcPr>
          <w:p>
            <w:pPr>
              <w:ind w:left="20"/>
              <w:spacing w:after="0"/>
              <w:rPr>
                <w:sz w:val="20"/>
                <w:szCs w:val="20"/>
                <w:color w:val="auto"/>
              </w:rPr>
            </w:pPr>
            <w:r>
              <w:rPr>
                <w:rFonts w:ascii="Arial" w:cs="Arial" w:eastAsia="Arial" w:hAnsi="Arial"/>
                <w:sz w:val="16"/>
                <w:szCs w:val="16"/>
                <w:color w:val="auto"/>
              </w:rPr>
              <w:t>Net proceeds from sale of businesses and other assets</w:t>
            </w:r>
          </w:p>
        </w:tc>
        <w:tc>
          <w:tcPr>
            <w:tcW w:w="10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175</w:t>
            </w:r>
          </w:p>
        </w:tc>
      </w:tr>
      <w:tr>
        <w:trPr>
          <w:trHeight w:val="219"/>
        </w:trPr>
        <w:tc>
          <w:tcPr>
            <w:tcW w:w="7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Payments for acquisition of businesses, net of cash acquired</w:t>
            </w:r>
          </w:p>
        </w:tc>
        <w:tc>
          <w:tcPr>
            <w:tcW w:w="10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(668)</w:t>
            </w:r>
          </w:p>
        </w:tc>
      </w:tr>
      <w:tr>
        <w:trPr>
          <w:trHeight w:val="213"/>
        </w:trPr>
        <w:tc>
          <w:tcPr>
            <w:tcW w:w="7800" w:type="dxa"/>
            <w:vAlign w:val="bottom"/>
          </w:tcPr>
          <w:p>
            <w:pPr>
              <w:ind w:left="20"/>
              <w:spacing w:after="0"/>
              <w:rPr>
                <w:sz w:val="20"/>
                <w:szCs w:val="20"/>
                <w:color w:val="auto"/>
              </w:rPr>
            </w:pPr>
            <w:r>
              <w:rPr>
                <w:rFonts w:ascii="Arial" w:cs="Arial" w:eastAsia="Arial" w:hAnsi="Arial"/>
                <w:sz w:val="16"/>
                <w:szCs w:val="16"/>
                <w:color w:val="auto"/>
              </w:rPr>
              <w:t>Distributions from unconsolidated affiliates</w:t>
            </w:r>
          </w:p>
        </w:tc>
        <w:tc>
          <w:tcPr>
            <w:tcW w:w="10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79</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78</w:t>
            </w:r>
          </w:p>
        </w:tc>
      </w:tr>
      <w:tr>
        <w:trPr>
          <w:trHeight w:val="219"/>
        </w:trPr>
        <w:tc>
          <w:tcPr>
            <w:tcW w:w="7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Purchases of investments</w:t>
            </w:r>
          </w:p>
        </w:tc>
        <w:tc>
          <w:tcPr>
            <w:tcW w:w="10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r>
      <w:tr>
        <w:trPr>
          <w:trHeight w:val="213"/>
        </w:trPr>
        <w:tc>
          <w:tcPr>
            <w:tcW w:w="7800" w:type="dxa"/>
            <w:vAlign w:val="bottom"/>
          </w:tcPr>
          <w:p>
            <w:pPr>
              <w:ind w:left="20"/>
              <w:spacing w:after="0"/>
              <w:rPr>
                <w:sz w:val="20"/>
                <w:szCs w:val="20"/>
                <w:color w:val="auto"/>
              </w:rPr>
            </w:pPr>
            <w:r>
              <w:rPr>
                <w:rFonts w:ascii="Arial" w:cs="Arial" w:eastAsia="Arial" w:hAnsi="Arial"/>
                <w:sz w:val="16"/>
                <w:szCs w:val="16"/>
                <w:color w:val="auto"/>
              </w:rPr>
              <w:t>Proceeds from sale of investments</w:t>
            </w:r>
          </w:p>
        </w:tc>
        <w:tc>
          <w:tcPr>
            <w:tcW w:w="10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16"/>
        </w:trPr>
        <w:tc>
          <w:tcPr>
            <w:tcW w:w="7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investing activities</w:t>
            </w:r>
          </w:p>
        </w:tc>
        <w:tc>
          <w:tcPr>
            <w:tcW w:w="10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9"/>
        </w:trPr>
        <w:tc>
          <w:tcPr>
            <w:tcW w:w="7800" w:type="dxa"/>
            <w:vAlign w:val="bottom"/>
          </w:tcPr>
          <w:p>
            <w:pPr>
              <w:ind w:left="20"/>
              <w:spacing w:after="0"/>
              <w:rPr>
                <w:sz w:val="20"/>
                <w:szCs w:val="20"/>
                <w:color w:val="auto"/>
              </w:rPr>
            </w:pPr>
            <w:r>
              <w:rPr>
                <w:rFonts w:ascii="Arial" w:cs="Arial" w:eastAsia="Arial" w:hAnsi="Arial"/>
                <w:sz w:val="16"/>
                <w:szCs w:val="16"/>
                <w:color w:val="auto"/>
              </w:rPr>
              <w:t>Net cash used in investing activities</w:t>
            </w:r>
          </w:p>
        </w:tc>
        <w:tc>
          <w:tcPr>
            <w:tcW w:w="10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(613)</w:t>
            </w:r>
          </w:p>
        </w:tc>
        <w:tc>
          <w:tcPr>
            <w:tcW w:w="1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(1,160)</w:t>
            </w:r>
          </w:p>
        </w:tc>
      </w:tr>
      <w:tr>
        <w:trPr>
          <w:trHeight w:val="213"/>
        </w:trPr>
        <w:tc>
          <w:tcPr>
            <w:tcW w:w="78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10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13"/>
        </w:trPr>
        <w:tc>
          <w:tcPr>
            <w:tcW w:w="7800" w:type="dxa"/>
            <w:vAlign w:val="bottom"/>
          </w:tcPr>
          <w:p>
            <w:pPr>
              <w:ind w:left="20"/>
              <w:spacing w:after="0"/>
              <w:rPr>
                <w:sz w:val="20"/>
                <w:szCs w:val="20"/>
                <w:color w:val="auto"/>
              </w:rPr>
            </w:pPr>
            <w:r>
              <w:rPr>
                <w:rFonts w:ascii="Arial" w:cs="Arial" w:eastAsia="Arial" w:hAnsi="Arial"/>
                <w:sz w:val="16"/>
                <w:szCs w:val="16"/>
                <w:color w:val="auto"/>
              </w:rPr>
              <w:t>Debt proceeds</w:t>
            </w:r>
          </w:p>
        </w:tc>
        <w:tc>
          <w:tcPr>
            <w:tcW w:w="10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3,160</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1,191</w:t>
            </w:r>
          </w:p>
        </w:tc>
      </w:tr>
      <w:tr>
        <w:trPr>
          <w:trHeight w:val="219"/>
        </w:trPr>
        <w:tc>
          <w:tcPr>
            <w:tcW w:w="7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Debt repayments</w:t>
            </w:r>
          </w:p>
        </w:tc>
        <w:tc>
          <w:tcPr>
            <w:tcW w:w="10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(978)</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(1,610)</w:t>
            </w:r>
          </w:p>
        </w:tc>
      </w:tr>
      <w:tr>
        <w:trPr>
          <w:trHeight w:val="213"/>
        </w:trPr>
        <w:tc>
          <w:tcPr>
            <w:tcW w:w="7800" w:type="dxa"/>
            <w:vAlign w:val="bottom"/>
          </w:tcPr>
          <w:p>
            <w:pPr>
              <w:ind w:left="20"/>
              <w:spacing w:after="0"/>
              <w:rPr>
                <w:sz w:val="20"/>
                <w:szCs w:val="20"/>
                <w:color w:val="auto"/>
              </w:rPr>
            </w:pPr>
            <w:r>
              <w:rPr>
                <w:rFonts w:ascii="Arial" w:cs="Arial" w:eastAsia="Arial" w:hAnsi="Arial"/>
                <w:sz w:val="16"/>
                <w:szCs w:val="16"/>
                <w:color w:val="auto"/>
              </w:rPr>
              <w:t>Net (repayments of) proceeds from commercial paper and short-term borrowings</w:t>
            </w:r>
          </w:p>
        </w:tc>
        <w:tc>
          <w:tcPr>
            <w:tcW w:w="10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(767)</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869</w:t>
            </w:r>
          </w:p>
        </w:tc>
      </w:tr>
      <w:tr>
        <w:trPr>
          <w:trHeight w:val="219"/>
        </w:trPr>
        <w:tc>
          <w:tcPr>
            <w:tcW w:w="7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Payments of debt financing costs</w:t>
            </w:r>
          </w:p>
        </w:tc>
        <w:tc>
          <w:tcPr>
            <w:tcW w:w="10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7800" w:type="dxa"/>
            <w:vAlign w:val="bottom"/>
          </w:tcPr>
          <w:p>
            <w:pPr>
              <w:ind w:left="20"/>
              <w:spacing w:after="0"/>
              <w:rPr>
                <w:sz w:val="20"/>
                <w:szCs w:val="20"/>
                <w:color w:val="auto"/>
              </w:rPr>
            </w:pPr>
            <w:r>
              <w:rPr>
                <w:rFonts w:ascii="Arial" w:cs="Arial" w:eastAsia="Arial" w:hAnsi="Arial"/>
                <w:sz w:val="16"/>
                <w:szCs w:val="16"/>
                <w:color w:val="auto"/>
              </w:rPr>
              <w:t>Proceeds from issuance of treasury stock</w:t>
            </w:r>
          </w:p>
        </w:tc>
        <w:tc>
          <w:tcPr>
            <w:tcW w:w="10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53</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72</w:t>
            </w:r>
          </w:p>
        </w:tc>
      </w:tr>
      <w:tr>
        <w:trPr>
          <w:trHeight w:val="219"/>
        </w:trPr>
        <w:tc>
          <w:tcPr>
            <w:tcW w:w="7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Purchases of treasury stock, including employee shares withheld for tax obligations</w:t>
            </w:r>
          </w:p>
        </w:tc>
        <w:tc>
          <w:tcPr>
            <w:tcW w:w="10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(2,603)</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(1,078)</w:t>
            </w:r>
          </w:p>
        </w:tc>
      </w:tr>
      <w:tr>
        <w:trPr>
          <w:trHeight w:val="213"/>
        </w:trPr>
        <w:tc>
          <w:tcPr>
            <w:tcW w:w="7800" w:type="dxa"/>
            <w:vAlign w:val="bottom"/>
          </w:tcPr>
          <w:p>
            <w:pPr>
              <w:ind w:left="20"/>
              <w:spacing w:after="0"/>
              <w:rPr>
                <w:sz w:val="20"/>
                <w:szCs w:val="20"/>
                <w:color w:val="auto"/>
              </w:rPr>
            </w:pPr>
            <w:r>
              <w:rPr>
                <w:rFonts w:ascii="Arial" w:cs="Arial" w:eastAsia="Arial" w:hAnsi="Arial"/>
                <w:sz w:val="16"/>
                <w:szCs w:val="16"/>
                <w:color w:val="auto"/>
              </w:rPr>
              <w:t>Settlement activity, net</w:t>
            </w:r>
          </w:p>
        </w:tc>
        <w:tc>
          <w:tcPr>
            <w:tcW w:w="10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(515)</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(189)</w:t>
            </w:r>
          </w:p>
        </w:tc>
      </w:tr>
      <w:tr>
        <w:trPr>
          <w:trHeight w:val="219"/>
        </w:trPr>
        <w:tc>
          <w:tcPr>
            <w:tcW w:w="7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Distributions paid to noncontrolling interests and redeemable noncontrolling interests</w:t>
            </w:r>
          </w:p>
        </w:tc>
        <w:tc>
          <w:tcPr>
            <w:tcW w:w="10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r>
      <w:tr>
        <w:trPr>
          <w:trHeight w:val="213"/>
        </w:trPr>
        <w:tc>
          <w:tcPr>
            <w:tcW w:w="7800" w:type="dxa"/>
            <w:vAlign w:val="bottom"/>
          </w:tcPr>
          <w:p>
            <w:pPr>
              <w:ind w:left="20"/>
              <w:spacing w:after="0"/>
              <w:rPr>
                <w:sz w:val="20"/>
                <w:szCs w:val="20"/>
                <w:color w:val="auto"/>
              </w:rPr>
            </w:pPr>
            <w:r>
              <w:rPr>
                <w:rFonts w:ascii="Arial" w:cs="Arial" w:eastAsia="Arial" w:hAnsi="Arial"/>
                <w:sz w:val="16"/>
                <w:szCs w:val="16"/>
                <w:color w:val="auto"/>
              </w:rPr>
              <w:t>Payments of acquisition-related contingent consideration</w:t>
            </w:r>
          </w:p>
        </w:tc>
        <w:tc>
          <w:tcPr>
            <w:tcW w:w="10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(30)</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7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financing activities</w:t>
            </w:r>
          </w:p>
        </w:tc>
        <w:tc>
          <w:tcPr>
            <w:tcW w:w="10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w:t>
            </w:r>
          </w:p>
        </w:tc>
      </w:tr>
      <w:tr>
        <w:trPr>
          <w:trHeight w:val="206"/>
        </w:trPr>
        <w:tc>
          <w:tcPr>
            <w:tcW w:w="78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cash used in financing activities</w:t>
            </w:r>
          </w:p>
        </w:tc>
        <w:tc>
          <w:tcPr>
            <w:tcW w:w="10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(1,750)</w:t>
            </w:r>
          </w:p>
        </w:tc>
        <w:tc>
          <w:tcPr>
            <w:tcW w:w="1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(754)</w:t>
            </w:r>
          </w:p>
        </w:tc>
      </w:tr>
      <w:tr>
        <w:trPr>
          <w:trHeight w:val="213"/>
        </w:trPr>
        <w:tc>
          <w:tcPr>
            <w:tcW w:w="7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Effect of exchange rate changes on cash and cash equivalents</w:t>
            </w:r>
          </w:p>
        </w:tc>
        <w:tc>
          <w:tcPr>
            <w:tcW w:w="10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w:t>
            </w:r>
          </w:p>
        </w:tc>
      </w:tr>
      <w:tr>
        <w:trPr>
          <w:trHeight w:val="207"/>
        </w:trPr>
        <w:tc>
          <w:tcPr>
            <w:tcW w:w="7800" w:type="dxa"/>
            <w:vAlign w:val="bottom"/>
          </w:tcPr>
          <w:p>
            <w:pPr>
              <w:ind w:left="20"/>
              <w:spacing w:after="0"/>
              <w:rPr>
                <w:sz w:val="20"/>
                <w:szCs w:val="20"/>
                <w:color w:val="auto"/>
              </w:rPr>
            </w:pPr>
            <w:r>
              <w:rPr>
                <w:rFonts w:ascii="Arial" w:cs="Arial" w:eastAsia="Arial" w:hAnsi="Arial"/>
                <w:sz w:val="16"/>
                <w:szCs w:val="16"/>
                <w:color w:val="auto"/>
              </w:rPr>
              <w:t>Net change in cash and cash equivalents</w:t>
            </w:r>
          </w:p>
        </w:tc>
        <w:tc>
          <w:tcPr>
            <w:tcW w:w="10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(336)</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(142)</w:t>
            </w:r>
          </w:p>
        </w:tc>
      </w:tr>
      <w:tr>
        <w:trPr>
          <w:trHeight w:val="219"/>
        </w:trPr>
        <w:tc>
          <w:tcPr>
            <w:tcW w:w="7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and cash equivalents, beginning balance</w:t>
            </w:r>
          </w:p>
        </w:tc>
        <w:tc>
          <w:tcPr>
            <w:tcW w:w="10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3,192</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3,205</w:t>
            </w:r>
          </w:p>
        </w:tc>
      </w:tr>
      <w:tr>
        <w:trPr>
          <w:trHeight w:val="207"/>
        </w:trPr>
        <w:tc>
          <w:tcPr>
            <w:tcW w:w="7800" w:type="dxa"/>
            <w:vAlign w:val="bottom"/>
          </w:tcPr>
          <w:p>
            <w:pPr>
              <w:ind w:left="20"/>
              <w:spacing w:after="0"/>
              <w:rPr>
                <w:sz w:val="20"/>
                <w:szCs w:val="20"/>
                <w:color w:val="auto"/>
              </w:rPr>
            </w:pPr>
            <w:r>
              <w:rPr>
                <w:rFonts w:ascii="Arial" w:cs="Arial" w:eastAsia="Arial" w:hAnsi="Arial"/>
                <w:sz w:val="16"/>
                <w:szCs w:val="16"/>
                <w:color w:val="auto"/>
              </w:rPr>
              <w:t>Cash and cash equivalents, ending balance</w:t>
            </w:r>
          </w:p>
        </w:tc>
        <w:tc>
          <w:tcPr>
            <w:tcW w:w="1060" w:type="dxa"/>
            <w:vAlign w:val="bottom"/>
          </w:tcPr>
          <w:p>
            <w:pPr>
              <w:jc w:val="right"/>
              <w:ind w:right="879"/>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2,856</w:t>
            </w:r>
          </w:p>
        </w:tc>
        <w:tc>
          <w:tcPr>
            <w:tcW w:w="5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3,063</w:t>
            </w:r>
          </w:p>
        </w:tc>
      </w:tr>
      <w:tr>
        <w:trPr>
          <w:trHeight w:val="23"/>
        </w:trPr>
        <w:tc>
          <w:tcPr>
            <w:tcW w:w="7800" w:type="dxa"/>
            <w:vAlign w:val="bottom"/>
          </w:tcPr>
          <w:p>
            <w:pPr>
              <w:spacing w:after="0"/>
              <w:rPr>
                <w:sz w:val="2"/>
                <w:szCs w:val="2"/>
                <w:color w:val="auto"/>
              </w:rPr>
            </w:pPr>
          </w:p>
        </w:tc>
        <w:tc>
          <w:tcPr>
            <w:tcW w:w="1060" w:type="dxa"/>
            <w:vAlign w:val="bottom"/>
            <w:tcBorders>
              <w:top w:val="single" w:sz="8" w:color="auto"/>
              <w:bottom w:val="single" w:sz="8" w:color="auto"/>
            </w:tcBorders>
          </w:tcPr>
          <w:p>
            <w:pPr>
              <w:spacing w:after="0"/>
              <w:rPr>
                <w:sz w:val="2"/>
                <w:szCs w:val="2"/>
                <w:color w:val="auto"/>
              </w:rPr>
            </w:pPr>
          </w:p>
        </w:tc>
        <w:tc>
          <w:tcPr>
            <w:tcW w:w="58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top w:val="single" w:sz="8" w:color="auto"/>
              <w:bottom w:val="single" w:sz="8" w:color="auto"/>
            </w:tcBorders>
          </w:tcPr>
          <w:p>
            <w:pPr>
              <w:spacing w:after="0"/>
              <w:rPr>
                <w:sz w:val="2"/>
                <w:szCs w:val="2"/>
                <w:color w:val="auto"/>
              </w:rPr>
            </w:pPr>
          </w:p>
        </w:tc>
        <w:tc>
          <w:tcPr>
            <w:tcW w:w="1280" w:type="dxa"/>
            <w:vAlign w:val="bottom"/>
            <w:tcBorders>
              <w:top w:val="single" w:sz="8" w:color="auto"/>
              <w:bottom w:val="single" w:sz="8" w:color="auto"/>
            </w:tcBorders>
          </w:tcPr>
          <w:p>
            <w:pPr>
              <w:spacing w:after="0"/>
              <w:rPr>
                <w:sz w:val="2"/>
                <w:szCs w:val="2"/>
                <w:color w:val="auto"/>
              </w:rPr>
            </w:pPr>
          </w:p>
        </w:tc>
      </w:tr>
    </w:tbl>
    <w:p>
      <w:pPr>
        <w:spacing w:after="0" w:line="175"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Fiserv,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(Unaudited)</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 and Summary of Significant Accounting Policies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171"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consolidated financial statements for the three and six months ended June 30, 2023 and 2022 are unaudited. In the opinion of management, all adjustments necessary for a fair presentation of the consolidated financial statements have been included. Such adjustments consisted of normal recurring items. Interim results are not necessarily indicative of results for a full year. The consolidated financial statements and accompanying notes are presented as permitted by Form 10-Q and do not contain certain information included in the annual consolidated financial statements and accompanying notes of Fiserv, Inc. (the “Company”). These interim consolidated financial statements should be read in conjunction with the consolidated financial statements and accompanying notes included in the Company’s Annual Report on Form 10-K for the year ended December 31, 2022.</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Principles of Consolidation</w:t>
      </w:r>
    </w:p>
    <w:p>
      <w:pPr>
        <w:spacing w:after="0" w:line="171"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The consolidated financial statements include the accounts of Fiserv, Inc. and its subsidiaries in which the Company holds a majority controlling financial interest. All intercompany transactions and balances between the Company and its subsidiaries have been eliminated in consolidation. Control is typically established when ownership and voting interests in an entity are greater than 50%. Investments in which the Company has significant influence but not control are accounted for using the equity method of accounting, for which the Company’s share of net income or loss is reported within (loss) income from investments in unconsolidated affiliates and the related tax expense or benefit is reported within the income tax provision in the consolidated statements of income. Significant influence over an affiliate’s operations generally coincides with an ownership interest of between 20% and 50%; however, for partnerships and limited liability companies, an ownership interest of between 3% and 50% or board of director representation may also constitute significant influence.</w:t>
      </w:r>
    </w:p>
    <w:p>
      <w:pPr>
        <w:spacing w:after="0" w:line="138"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color w:val="auto"/>
        </w:rPr>
        <w:t>The Company maintains a majority controlling financial interest in certain entities, mostly related to consolidated merchant alliances (see Note 18). Noncontrolling interests represent the minority shareholders’ share of the net income or loss and equity in consolidated subsidiaries. The Company’s noncontrolling interests presented in the consolidated statements of income include net income attributable to noncontrolling interests and redeemable noncontrolling interests. Noncontrolling interests are presented as a component of equity in the consolidated balance sheets. Noncontrolling interests that are redeemable upon the occurrence of an event that is not solely within the Company’s control are presented outside of equity and are carried at their estimated redemption value if it exceeds the initial carrying value of the redeemable interest (see Note 10).</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17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(“U.S.”) requires management to make estimates and assumptions that affect the reported amounts of assets and liabilities and disclosure of contingent assets and liabilities at the date of the financial statements and the reported amounts of revenue and expenses during the reporting period. Actual results could differ materially from those estimates.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w:t>
      </w:r>
    </w:p>
    <w:p>
      <w:pPr>
        <w:spacing w:after="0" w:line="17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Cash and cash equivalents consist of cash and investments with original maturities of 90 days or less and are stated at cost in the consolidated balance sheets, which approximates market value. Cash and cash equivalents that were restricted from use due to regulatory or other requirements are included in other long-term assets in the consolidated balance sheets. Cash and cash equivalents held on behalf of merchants and other payees are included in settlement assets in the consolidated balance sheets.</w:t>
      </w:r>
    </w:p>
    <w:p>
      <w:pPr>
        <w:spacing w:after="0" w:line="200" w:lineRule="exact"/>
        <w:rPr>
          <w:sz w:val="20"/>
          <w:szCs w:val="20"/>
          <w:color w:val="auto"/>
        </w:rPr>
      </w:pPr>
    </w:p>
    <w:p>
      <w:pPr>
        <w:spacing w:after="0" w:line="3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The changes in settlement cash and cash equivalents are included in settlement activity, net within cash flows from financing activities in the consolidated statements of cash flows. The following table provides a reconciliation between cash and cash equivalents on the consolidated balance sheets and the consolidated statements of cash flows at:</w:t>
      </w:r>
    </w:p>
    <w:p>
      <w:pPr>
        <w:spacing w:after="0" w:line="166" w:lineRule="exact"/>
        <w:rPr>
          <w:sz w:val="20"/>
          <w:szCs w:val="20"/>
          <w:color w:val="auto"/>
        </w:rPr>
      </w:pPr>
    </w:p>
    <w:p>
      <w:pPr>
        <w:ind w:left="20"/>
        <w:spacing w:after="0"/>
        <w:tabs>
          <w:tab w:leader="none" w:pos="5600" w:val="left"/>
          <w:tab w:leader="none" w:pos="7460" w:val="left"/>
          <w:tab w:leader="none" w:pos="9720" w:val="left"/>
        </w:tabs>
        <w:rPr>
          <w:sz w:val="20"/>
          <w:szCs w:val="20"/>
          <w:color w:val="auto"/>
        </w:rPr>
      </w:pPr>
      <w:r>
        <w:rPr>
          <w:rFonts w:ascii="Arial" w:cs="Arial" w:eastAsia="Arial" w:hAnsi="Arial"/>
          <w:sz w:val="16"/>
          <w:szCs w:val="16"/>
          <w:b w:val="1"/>
          <w:bCs w:val="1"/>
          <w:u w:val="single" w:color="auto"/>
          <w:color w:val="auto"/>
        </w:rPr>
        <w:t>(In millions)</w:t>
      </w:r>
      <w:r>
        <w:rPr>
          <w:sz w:val="20"/>
          <w:szCs w:val="20"/>
          <w:color w:val="auto"/>
        </w:rPr>
        <w:tab/>
      </w:r>
      <w:r>
        <w:rPr>
          <w:rFonts w:ascii="Arial" w:cs="Arial" w:eastAsia="Arial" w:hAnsi="Arial"/>
          <w:sz w:val="18"/>
          <w:szCs w:val="18"/>
          <w:b w:val="1"/>
          <w:bCs w:val="1"/>
          <w:color w:val="auto"/>
        </w:rPr>
        <w:t>June 30, 2023</w:t>
      </w:r>
      <w:r>
        <w:rPr>
          <w:sz w:val="20"/>
          <w:szCs w:val="20"/>
          <w:color w:val="auto"/>
        </w:rPr>
        <w:tab/>
      </w:r>
      <w:r>
        <w:rPr>
          <w:rFonts w:ascii="Arial" w:cs="Arial" w:eastAsia="Arial" w:hAnsi="Arial"/>
          <w:sz w:val="18"/>
          <w:szCs w:val="18"/>
          <w:b w:val="1"/>
          <w:bCs w:val="1"/>
          <w:color w:val="auto"/>
        </w:rPr>
        <w:t>December 31, 2022</w:t>
      </w:r>
      <w:r>
        <w:rPr>
          <w:sz w:val="20"/>
          <w:szCs w:val="20"/>
          <w:color w:val="auto"/>
        </w:rPr>
        <w:tab/>
      </w:r>
      <w:r>
        <w:rPr>
          <w:rFonts w:ascii="Arial" w:cs="Arial" w:eastAsia="Arial" w:hAnsi="Arial"/>
          <w:sz w:val="15"/>
          <w:szCs w:val="15"/>
          <w:b w:val="1"/>
          <w:bCs w:val="1"/>
          <w:color w:val="auto"/>
        </w:rPr>
        <w:t>June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974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9748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p>
      <w:pPr>
        <w:spacing w:after="0" w:line="67" w:lineRule="exact"/>
        <w:rPr>
          <w:sz w:val="20"/>
          <w:szCs w:val="20"/>
          <w:color w:val="auto"/>
        </w:rPr>
      </w:pPr>
    </w:p>
    <w:tbl>
      <w:tblPr>
        <w:tblLayout w:type="fixed"/>
        <w:tblInd w:w="20" w:type="dxa"/>
        <w:tblCellMar>
          <w:top w:w="0" w:type="dxa"/>
          <w:left w:w="0" w:type="dxa"/>
          <w:bottom w:w="0" w:type="dxa"/>
          <w:right w:w="0" w:type="dxa"/>
        </w:tblCellMar>
      </w:tblPr>
      <w:tr>
        <w:trPr>
          <w:trHeight w:val="271"/>
        </w:trPr>
        <w:tc>
          <w:tcPr>
            <w:tcW w:w="5060" w:type="dxa"/>
            <w:vAlign w:val="bottom"/>
          </w:tcPr>
          <w:p>
            <w:pPr>
              <w:spacing w:after="0"/>
              <w:rPr>
                <w:sz w:val="20"/>
                <w:szCs w:val="20"/>
                <w:color w:val="auto"/>
              </w:rPr>
            </w:pPr>
            <w:r>
              <w:rPr>
                <w:rFonts w:ascii="Arial" w:cs="Arial" w:eastAsia="Arial" w:hAnsi="Arial"/>
                <w:sz w:val="18"/>
                <w:szCs w:val="18"/>
                <w:color w:val="auto"/>
              </w:rPr>
              <w:t>Cash and cash equivalents on the consolidated balance sheets</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5060" w:type="dxa"/>
            <w:vAlign w:val="bottom"/>
          </w:tcPr>
          <w:p>
            <w:pPr>
              <w:spacing w:after="0"/>
              <w:rPr>
                <w:sz w:val="20"/>
                <w:szCs w:val="20"/>
                <w:color w:val="auto"/>
              </w:rPr>
            </w:pPr>
            <w:r>
              <w:rPr>
                <w:rFonts w:ascii="Arial" w:cs="Arial" w:eastAsia="Arial" w:hAnsi="Arial"/>
                <w:sz w:val="18"/>
                <w:szCs w:val="18"/>
                <w:color w:val="auto"/>
              </w:rPr>
              <w:t>Cash and cash equivalents included in settlement assets</w:t>
            </w:r>
          </w:p>
        </w:tc>
        <w:tc>
          <w:tcPr>
            <w:tcW w:w="200" w:type="dxa"/>
            <w:vAlign w:val="bottom"/>
          </w:tcPr>
          <w:p>
            <w:pPr>
              <w:spacing w:after="0"/>
              <w:rPr>
                <w:sz w:val="23"/>
                <w:szCs w:val="23"/>
                <w:color w:val="auto"/>
              </w:rPr>
            </w:pPr>
          </w:p>
        </w:tc>
      </w:tr>
      <w:tr>
        <w:trPr>
          <w:trHeight w:val="283"/>
        </w:trPr>
        <w:tc>
          <w:tcPr>
            <w:tcW w:w="5060" w:type="dxa"/>
            <w:vAlign w:val="bottom"/>
          </w:tcPr>
          <w:p>
            <w:pPr>
              <w:spacing w:after="0"/>
              <w:rPr>
                <w:sz w:val="20"/>
                <w:szCs w:val="20"/>
                <w:color w:val="auto"/>
              </w:rPr>
            </w:pPr>
            <w:r>
              <w:rPr>
                <w:rFonts w:ascii="Arial" w:cs="Arial" w:eastAsia="Arial" w:hAnsi="Arial"/>
                <w:sz w:val="18"/>
                <w:szCs w:val="18"/>
                <w:color w:val="auto"/>
              </w:rPr>
              <w:t>Other restricted cash</w:t>
            </w:r>
          </w:p>
        </w:tc>
        <w:tc>
          <w:tcPr>
            <w:tcW w:w="200" w:type="dxa"/>
            <w:vAlign w:val="bottom"/>
          </w:tcPr>
          <w:p>
            <w:pPr>
              <w:spacing w:after="0"/>
              <w:rPr>
                <w:sz w:val="24"/>
                <w:szCs w:val="24"/>
                <w:color w:val="auto"/>
              </w:rPr>
            </w:pPr>
          </w:p>
        </w:tc>
      </w:tr>
      <w:tr>
        <w:trPr>
          <w:trHeight w:val="216"/>
        </w:trPr>
        <w:tc>
          <w:tcPr>
            <w:tcW w:w="5060" w:type="dxa"/>
            <w:vAlign w:val="bottom"/>
          </w:tcPr>
          <w:p>
            <w:pPr>
              <w:ind w:left="220"/>
              <w:spacing w:after="0"/>
              <w:rPr>
                <w:sz w:val="20"/>
                <w:szCs w:val="20"/>
                <w:color w:val="auto"/>
              </w:rPr>
            </w:pPr>
            <w:r>
              <w:rPr>
                <w:rFonts w:ascii="Arial" w:cs="Arial" w:eastAsia="Arial" w:hAnsi="Arial"/>
                <w:sz w:val="18"/>
                <w:szCs w:val="18"/>
                <w:color w:val="auto"/>
                <w:w w:val="90"/>
              </w:rPr>
              <w:t>Total cash and cash equivalents on the consolidated statements of</w:t>
            </w:r>
          </w:p>
        </w:tc>
        <w:tc>
          <w:tcPr>
            <w:tcW w:w="200" w:type="dxa"/>
            <w:vAlign w:val="bottom"/>
          </w:tcPr>
          <w:p>
            <w:pPr>
              <w:spacing w:after="0"/>
              <w:rPr>
                <w:sz w:val="18"/>
                <w:szCs w:val="18"/>
                <w:color w:val="auto"/>
              </w:rPr>
            </w:pPr>
          </w:p>
        </w:tc>
      </w:tr>
      <w:tr>
        <w:trPr>
          <w:trHeight w:val="243"/>
        </w:trPr>
        <w:tc>
          <w:tcPr>
            <w:tcW w:w="5060" w:type="dxa"/>
            <w:vAlign w:val="bottom"/>
          </w:tcPr>
          <w:p>
            <w:pPr>
              <w:ind w:left="220"/>
              <w:spacing w:after="0"/>
              <w:rPr>
                <w:sz w:val="20"/>
                <w:szCs w:val="20"/>
                <w:color w:val="auto"/>
              </w:rPr>
            </w:pPr>
            <w:r>
              <w:rPr>
                <w:rFonts w:ascii="Arial" w:cs="Arial" w:eastAsia="Arial" w:hAnsi="Arial"/>
                <w:sz w:val="18"/>
                <w:szCs w:val="18"/>
                <w:color w:val="auto"/>
              </w:rPr>
              <w:t>cash flows</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-445135</wp:posOffset>
            </wp:positionV>
            <wp:extent cx="7132320" cy="1543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580" w:type="dxa"/>
            <w:vAlign w:val="bottom"/>
          </w:tcPr>
          <w:p>
            <w:pPr>
              <w:jc w:val="right"/>
              <w:ind w:right="70"/>
              <w:spacing w:after="0"/>
              <w:rPr>
                <w:sz w:val="20"/>
                <w:szCs w:val="20"/>
                <w:color w:val="auto"/>
              </w:rPr>
            </w:pPr>
            <w:r>
              <w:rPr>
                <w:rFonts w:ascii="Arial" w:cs="Arial" w:eastAsia="Arial" w:hAnsi="Arial"/>
                <w:sz w:val="18"/>
                <w:szCs w:val="18"/>
                <w:color w:val="auto"/>
                <w:w w:val="88"/>
              </w:rPr>
              <w:t>1,082</w:t>
            </w:r>
          </w:p>
        </w:tc>
        <w:tc>
          <w:tcPr>
            <w:tcW w:w="800" w:type="dxa"/>
            <w:vAlign w:val="bottom"/>
          </w:tcPr>
          <w:p>
            <w:pPr>
              <w:jc w:val="right"/>
              <w:ind w:right="6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902</w:t>
            </w:r>
          </w:p>
        </w:tc>
        <w:tc>
          <w:tcPr>
            <w:tcW w:w="90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883</w:t>
            </w:r>
          </w:p>
        </w:tc>
      </w:tr>
      <w:tr>
        <w:trPr>
          <w:trHeight w:val="310"/>
        </w:trPr>
        <w:tc>
          <w:tcPr>
            <w:tcW w:w="580" w:type="dxa"/>
            <w:vAlign w:val="bottom"/>
          </w:tcPr>
          <w:p>
            <w:pPr>
              <w:jc w:val="right"/>
              <w:ind w:right="70"/>
              <w:spacing w:after="0"/>
              <w:rPr>
                <w:sz w:val="20"/>
                <w:szCs w:val="20"/>
                <w:color w:val="auto"/>
              </w:rPr>
            </w:pPr>
            <w:r>
              <w:rPr>
                <w:rFonts w:ascii="Arial" w:cs="Arial" w:eastAsia="Arial" w:hAnsi="Arial"/>
                <w:sz w:val="18"/>
                <w:szCs w:val="18"/>
                <w:color w:val="auto"/>
                <w:w w:val="88"/>
              </w:rPr>
              <w:t>1,768</w:t>
            </w:r>
          </w:p>
        </w:tc>
        <w:tc>
          <w:tcPr>
            <w:tcW w:w="8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2,283</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2,172</w:t>
            </w:r>
          </w:p>
        </w:tc>
      </w:tr>
      <w:tr>
        <w:trPr>
          <w:trHeight w:val="230"/>
        </w:trPr>
        <w:tc>
          <w:tcPr>
            <w:tcW w:w="580" w:type="dxa"/>
            <w:vAlign w:val="bottom"/>
          </w:tcPr>
          <w:p>
            <w:pPr>
              <w:jc w:val="right"/>
              <w:ind w:right="70"/>
              <w:spacing w:after="0"/>
              <w:rPr>
                <w:sz w:val="20"/>
                <w:szCs w:val="20"/>
                <w:color w:val="auto"/>
              </w:rPr>
            </w:pPr>
            <w:r>
              <w:rPr>
                <w:rFonts w:ascii="Arial" w:cs="Arial" w:eastAsia="Arial" w:hAnsi="Arial"/>
                <w:sz w:val="18"/>
                <w:szCs w:val="18"/>
                <w:color w:val="auto"/>
              </w:rPr>
              <w:t>6</w:t>
            </w:r>
          </w:p>
        </w:tc>
        <w:tc>
          <w:tcPr>
            <w:tcW w:w="8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r>
      <w:tr>
        <w:trPr>
          <w:trHeight w:val="453"/>
        </w:trPr>
        <w:tc>
          <w:tcPr>
            <w:tcW w:w="580" w:type="dxa"/>
            <w:vAlign w:val="bottom"/>
          </w:tcPr>
          <w:p>
            <w:pPr>
              <w:jc w:val="right"/>
              <w:ind w:right="70"/>
              <w:spacing w:after="0"/>
              <w:rPr>
                <w:sz w:val="20"/>
                <w:szCs w:val="20"/>
                <w:color w:val="auto"/>
              </w:rPr>
            </w:pPr>
            <w:r>
              <w:rPr>
                <w:rFonts w:ascii="Arial" w:cs="Arial" w:eastAsia="Arial" w:hAnsi="Arial"/>
                <w:sz w:val="18"/>
                <w:szCs w:val="18"/>
                <w:color w:val="auto"/>
                <w:w w:val="88"/>
              </w:rPr>
              <w:t>2,856</w:t>
            </w:r>
          </w:p>
        </w:tc>
        <w:tc>
          <w:tcPr>
            <w:tcW w:w="800" w:type="dxa"/>
            <w:vAlign w:val="bottom"/>
          </w:tcPr>
          <w:p>
            <w:pPr>
              <w:jc w:val="right"/>
              <w:ind w:right="6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3,192</w:t>
            </w:r>
          </w:p>
        </w:tc>
        <w:tc>
          <w:tcPr>
            <w:tcW w:w="90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3,063</w:t>
            </w:r>
          </w:p>
        </w:tc>
      </w:tr>
      <w:tr>
        <w:trPr>
          <w:trHeight w:val="20"/>
        </w:trPr>
        <w:tc>
          <w:tcPr>
            <w:tcW w:w="5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-927735</wp:posOffset>
            </wp:positionH>
            <wp:positionV relativeFrom="paragraph">
              <wp:posOffset>-33655</wp:posOffset>
            </wp:positionV>
            <wp:extent cx="123444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34440" cy="8255"/>
                    </a:xfrm>
                    <a:prstGeom prst="rect">
                      <a:avLst/>
                    </a:prstGeom>
                    <a:noFill/>
                  </pic:spPr>
                </pic:pic>
              </a:graphicData>
            </a:graphic>
          </wp:anchor>
        </w:drawing>
        <w:drawing>
          <wp:anchor simplePos="0" relativeHeight="251657728" behindDoc="1" locked="0" layoutInCell="0" allowOverlap="1">
            <wp:simplePos x="0" y="0"/>
            <wp:positionH relativeFrom="column">
              <wp:posOffset>-927735</wp:posOffset>
            </wp:positionH>
            <wp:positionV relativeFrom="paragraph">
              <wp:posOffset>-7620</wp:posOffset>
            </wp:positionV>
            <wp:extent cx="123444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920" w:space="720"/>
            <w:col w:w="4600"/>
          </w:cols>
          <w:pgMar w:left="320" w:top="125" w:right="339" w:bottom="1440" w:gutter="0" w:footer="0" w:header="0"/>
          <w:type w:val="continuous"/>
        </w:sectPr>
      </w:pP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Allowance for Doubtful Accounts</w:t>
      </w:r>
    </w:p>
    <w:p>
      <w:pPr>
        <w:spacing w:after="0" w:line="171"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The Company analyzes the collectability of trade accounts receivable by considering historical bad debts and issued client credits, client creditworthiness, current economic trends, changes in client payment terms and collection trends when evaluating the adequacy of the allowance for doubtful accounts. Any change in the assumptions used in analyzing a specific account receivable may result in an additional allowance for doubtful accounts being recognized in the period in which the change occurs. The allowance for doubtful accounts was $66 million and $52 million at June 30, 2023 and December 31, 2022, respectively.</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Prepaid Expenses and Other Current Assets</w:t>
      </w:r>
    </w:p>
    <w:p>
      <w:pPr>
        <w:spacing w:after="0" w:line="171"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Prepaid expenses represent advance payments for goods and services to be consumed in the future, such as maintenance, postage and insurance, and totaled $506 million and $431 million at June 30, 2023 and December 31, 2022, respectively. Other current assets, including Clover Capital cash advances and settlement advance cash payments, totaled $1,570 million and $1,144 million at June 30, 2023 and December 31, 2022, respectively.</w:t>
      </w:r>
    </w:p>
    <w:p>
      <w:pPr>
        <w:spacing w:after="0" w:line="111"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The Company offers merchants advance access to capital through its Clover Capital cash advance program. Under this program, merchants sell fixed amounts of their future credit card receivables to the Company in exchange for an up-front purchase price payment. Future credit card receivables purchased by the Company under the Clover Capital program were $199 million and $164 million at June 30, 2023 and December 31, 2022, respectively. The Company maintained a reserve of $8 million and $7 million at June 30, 2023 and December 31, 2022, respectively, based on an estimate of uncollectible amounts.</w:t>
      </w:r>
    </w:p>
    <w:p>
      <w:pPr>
        <w:spacing w:after="0" w:line="134"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The Company also offers merchants within its international operations advance access to capital by providing them the opportunity to receive settlement cash payments in advance in exchange for their receivables, including when the cardholders have elected to pay such merchants over time in installments. The Company maintains short-term lines of credit with foreign banks and alliance partners to fund such anticipated settlement activity (see Note 9). These local functional currency arrangements are primarily associated with the Company’s operations in Latin America, the most significant of which are denominated in Argentine peso and Brazilian real. The Company’s outstanding cash advances from card issuers related to this settlement funding activity were $504 million and $264 million at June 30, 2023 and December 31, 2022, respectively.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Settlement Assets and Obligations</w:t>
      </w:r>
    </w:p>
    <w:p>
      <w:pPr>
        <w:spacing w:after="0" w:line="171"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Settlement assets and obligations represent intermediary balances arising from the settlement process which involves the transferring of funds between card issuers, payment networks, processors, merchants and consumers, and collateral amounts held to manage merchant credit risk, primarily associated with the Company’s merchant acquiring services. As a processor, the Company facilitates the clearing and settlement activity for the merchant and records settlement assets and obligations upon processing a payment transaction. Settlement assets represent cash received or amounts receivable from agents, payment networks, bank partners, merchants or direct consumers. Settlement obligations represent amounts payable to merchants and payees.</w:t>
      </w:r>
    </w:p>
    <w:p>
      <w:pPr>
        <w:spacing w:after="0" w:line="107"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Certain merchant settlement assets (included within settlement receivables) that relate to settlement obligations are held by partner banks to which the Company does not have legal ownership, but which the Company has the right to use, to satisfy the related settlement obligations. The Company records settlement obligations for amounts payable to merchants and for outstanding payment instruments issued to payees that have not yet been presented for settlement.</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9" w:name="page10"/>
    <w:bookmarkEnd w:id="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Allowance for Merchant Credit Losses</w:t>
      </w:r>
    </w:p>
    <w:p>
      <w:pPr>
        <w:spacing w:after="0" w:line="171"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With respect to the Company’s merchant acquiring business, the Company’s merchant customers have the legal obligation to refund any charges properly reversed by the cardholder. However, in the event the Company is not able to collect the refunded amounts from the merchants, the Company may be liable for the reversed charges. The Company’s risk in this area primarily relates to situations where a cardholder has purchased goods or services to be delivered in the future. The Company requires cash deposits, guarantees, letters of credit or other types of collateral from certain merchants to mitigate this risk. Collateral held by the Company, or held by partner banks for the Company’s benefit, is classified within settlement assets, and the obligation to repay the collateral is classified within settlement obligations in the consolidated balance sheets. The Company also utilizes a number of systems and procedures to manage merchant credit risk. Despite these efforts, the Company experiences losses due to merchant defaults. The aggregate merchant credit loss expense, recognized by the Company within cost of processing and services in the consolidated statements of income, was $22 million and $20 million for the three months ended June 30, 2023 and 2022, respectively, and $37 million and $28 million for the six months ended June 30, 2023 and 2022, respectively.</w:t>
      </w:r>
    </w:p>
    <w:p>
      <w:pPr>
        <w:spacing w:after="0" w:line="112"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The Company maintains an allowance for merchant credit losses that are expected to exceed the amount of merchant collateral. The amount of collateral available to the Company was $1.1 billion and $1.5 billion at June 30, 2023 and December 31, 2022, respectively. The allowance includes estimated losses from anticipated chargebacks and fraud events that have been incurred on merchants’ payment transactions that have been processed but not yet reported to the Company, which is recorded within accounts payable and accrued expenses in the consolidated balance sheets, as well as estimated losses on refunded amounts to cardholders that have not yet been collected from the merchants, which is recorded within prepaid expenses and other current assets in the consolidated balance sheets. The allowance is based primarily on the Company’s historical experience of credit losses and other factors such as changes in economic conditions or increases in merchant fraud. The aggregate merchant credit loss allowance was $34 million and $29 million at June 30, 2023 and December 31, 2022, respectively.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171"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Goodwill represents the excess of purchase price over the fair value of identifiable assets acquired and liabilities assumed in a business combination. The Company evaluates goodwill for impairment on an annual basis, or more frequently if circumstances indicate possible impairment. Goodwill is tested for impairment at a reporting unit level, which is one level below the Company’s reportable segments. The Company’s most recent annual impairment assessment of its reporting units in the fourth quarter of 2022 determined that its goodwill was not impaired as the estimated fair values exceeded the carrying values. However, it is reasonably possible that future developments related to the interest or currency exchange rate environments; a shift in strategic initiatives; a deterioration in financial performance within a particular reporting unit; or significant changes in the composition of, or assumptions used in, the quantitative test on certain of the Company’s reporting units (such as an increase in risk-adjusted discount rates) could have a future material impact on one or more of the estimates and assumptions used to evaluate goodwill impairment. Additionally, a significant change in a merchant alliance business relationship or operating performance could result in a material goodwill impairment charge. There is no accumulated goodwill impairment for the Company through June 30, 2023.</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Equity Investments</w:t>
      </w:r>
    </w:p>
    <w:p>
      <w:pPr>
        <w:spacing w:after="0" w:line="17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Company maintains investments, of which it does not have significant influence, in various equity securities without a readily determinable fair value. Such investments totaled $138 million and $135 million at June 30, 2023 and December 31, 2022, respectively, and are included within other long-term assets in the consolidated balance sheets. The Company reviews these investments each reporting period to determine whether an impairment or observable price change for the investment has occurred. To the extent such events or changes occur, the Company evaluates the fair value compared to its cost basis in the investment. Gains or losses from a sale of these investments or a change in fair value are included within other expense, net in the consolidated statements of income for the period. Adjustments made to the values recorded for certain equity securities and gains and losses from sales of equity securities during the three and six months ended June 30, 2023 and 2022, were not significant.</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w:t>
      </w:r>
    </w:p>
    <w:p>
      <w:pPr>
        <w:spacing w:after="0" w:line="17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U.S. dollar is the functional currency of the Company’s U.S.-based businesses and certain foreign-based businesses. Where the functional currency differs from the U.S. dollar, assets and liabilities are translated into U.S. dollars at the exchange rates in effect at the balance sheet date. Revenue and expenses are translated at the average exchange rates during the reporting period. Gains and losses from foreign currency translation are recorded as a separate component of accumulated other comprehensive loss. Gains and losses from foreign currency transactions are included in determining net income for the reporting period.</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Financial statements of subsidiaries located in highly inflationary economies outside of the U.S. are remeasured into U.S. dollars, and the foreign currency gains and losses from the remeasurement of monetary assets and liabilities are reflected in the consolidated statements of income, rather than as foreign currency translation within accumulated other comprehensive loss in the consolidated balance sheets. The remeasurement of monetary assets and liabilities in highly inflationary economies, primarily Argentina, resulted in foreign currency exchange losses of $32 million and $12 million for the three months ended June 30, 2023 and 2022, respectively, and $50 million and $17 million for the six months ended June 30, 2023 and 2022, respectively, which is included within other expense, net within the consolidated statements of income.</w:t>
      </w:r>
    </w:p>
    <w:p>
      <w:pPr>
        <w:spacing w:after="0" w:line="124"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To reduce exposure to changes in the value of the Company’s net investments in certain of its foreign currency-denominated subsidiaries due to changes in foreign currency exchange rates, the Company uses fixed-to-fixed cross-currency rate swap contracts and foreign currency-denominated debt as economic hedges of its net investments in such foreign currency-denominated subsidiaries. Foreign currency transaction gains or losses on the qualifying net investment hedge instruments are recorded as foreign currency translation, net of tax, within other comprehensive income (loss) in the consolidated statements of comprehensive income and will remain in accumulated other comprehensive loss within the consolidated balance sheets until the sale or complete liquidation of the underlying foreign subsidiaries.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Derivatives</w:t>
      </w:r>
    </w:p>
    <w:p>
      <w:pPr>
        <w:spacing w:after="0" w:line="171"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Derivatives are entered into for periods consistent with related underlying exposures and are recorded in the consolidated balance sheets as either an asset or liability measured at fair value. If the derivative is designated as a cash flow hedge, changes in the fair value of the derivative are recorded as a component of accumulated other comprehensive loss and recognized in the consolidated statements of income when the hedged item affects earnings. If the derivative is designated as a net investment hedge, changes in the fair value of the derivative, net of tax, are recorded in the foreign currency translation component of other comprehensive income (loss) until the sale or complete liquidation of the underlying net investment. If the derivative is designated as a fair value hedge, changes in the fair value of the derivative are recorded in the same line item as the changes in the fair value of the hedged item and recognized in the consolidated statements of income. To the extent a derivative is not designated as a hedge, changes in fair value are recognized in the consolidated statements of income. The Company’s policy is to enter into derivatives with creditworthy institutions and not to enter into such derivatives for speculative purposes.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Net</w:t>
      </w:r>
    </w:p>
    <w:p>
      <w:pPr>
        <w:spacing w:after="0" w:line="171" w:lineRule="exact"/>
        <w:rPr>
          <w:sz w:val="20"/>
          <w:szCs w:val="20"/>
          <w:color w:val="auto"/>
        </w:rPr>
      </w:pPr>
    </w:p>
    <w:p>
      <w:pPr>
        <w:ind w:right="80"/>
        <w:spacing w:after="0" w:line="287" w:lineRule="auto"/>
        <w:rPr>
          <w:sz w:val="20"/>
          <w:szCs w:val="20"/>
          <w:color w:val="auto"/>
        </w:rPr>
      </w:pPr>
      <w:r>
        <w:rPr>
          <w:rFonts w:ascii="Arial" w:cs="Arial" w:eastAsia="Arial" w:hAnsi="Arial"/>
          <w:sz w:val="17"/>
          <w:szCs w:val="17"/>
          <w:color w:val="auto"/>
        </w:rPr>
        <w:t>Interest expense, net consists of interest expense primarily associated with the Company’s outstanding borrowings and finance lease obligations, as well as interest income primarily associated with the Company’s investment securities. Interest expense, net consisted of the following:</w:t>
      </w:r>
    </w:p>
    <w:tbl>
      <w:tblPr>
        <w:tblLayout w:type="fixed"/>
        <w:tblInd w:w="0" w:type="dxa"/>
        <w:tblCellMar>
          <w:top w:w="0" w:type="dxa"/>
          <w:left w:w="0" w:type="dxa"/>
          <w:bottom w:w="0" w:type="dxa"/>
          <w:right w:w="0" w:type="dxa"/>
        </w:tblCellMar>
      </w:tblPr>
      <w:tr>
        <w:trPr>
          <w:trHeight w:val="181"/>
        </w:trPr>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940" w:type="dxa"/>
            <w:vAlign w:val="bottom"/>
          </w:tcPr>
          <w:p>
            <w:pPr>
              <w:spacing w:after="0"/>
              <w:rPr>
                <w:sz w:val="15"/>
                <w:szCs w:val="15"/>
                <w:color w:val="auto"/>
              </w:rPr>
            </w:pPr>
          </w:p>
        </w:tc>
        <w:tc>
          <w:tcPr>
            <w:tcW w:w="2660" w:type="dxa"/>
            <w:vAlign w:val="bottom"/>
            <w:gridSpan w:val="4"/>
          </w:tcPr>
          <w:p>
            <w:pPr>
              <w:jc w:val="right"/>
              <w:ind w:right="260"/>
              <w:spacing w:after="0" w:line="182" w:lineRule="exact"/>
              <w:rPr>
                <w:sz w:val="20"/>
                <w:szCs w:val="20"/>
                <w:color w:val="auto"/>
              </w:rPr>
            </w:pPr>
            <w:r>
              <w:rPr>
                <w:rFonts w:ascii="Arial" w:cs="Arial" w:eastAsia="Arial" w:hAnsi="Arial"/>
                <w:sz w:val="18"/>
                <w:szCs w:val="18"/>
                <w:b w:val="1"/>
                <w:bCs w:val="1"/>
                <w:color w:val="auto"/>
              </w:rPr>
              <w:t>Three Months Ended</w:t>
            </w: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20" w:type="dxa"/>
            <w:vAlign w:val="bottom"/>
            <w:gridSpan w:val="4"/>
          </w:tcPr>
          <w:p>
            <w:pPr>
              <w:jc w:val="right"/>
              <w:ind w:right="770"/>
              <w:spacing w:after="0" w:line="182" w:lineRule="exact"/>
              <w:rPr>
                <w:sz w:val="20"/>
                <w:szCs w:val="20"/>
                <w:color w:val="auto"/>
              </w:rPr>
            </w:pPr>
            <w:r>
              <w:rPr>
                <w:rFonts w:ascii="Arial" w:cs="Arial" w:eastAsia="Arial" w:hAnsi="Arial"/>
                <w:sz w:val="18"/>
                <w:szCs w:val="18"/>
                <w:b w:val="1"/>
                <w:bCs w:val="1"/>
                <w:color w:val="auto"/>
              </w:rPr>
              <w:t>Six Months Ended</w:t>
            </w:r>
          </w:p>
        </w:tc>
      </w:tr>
      <w:tr>
        <w:trPr>
          <w:trHeight w:val="239"/>
        </w:trPr>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jc w:val="right"/>
              <w:ind w:right="760"/>
              <w:spacing w:after="0"/>
              <w:rPr>
                <w:sz w:val="20"/>
                <w:szCs w:val="20"/>
                <w:color w:val="auto"/>
              </w:rPr>
            </w:pPr>
            <w:r>
              <w:rPr>
                <w:rFonts w:ascii="Arial" w:cs="Arial" w:eastAsia="Arial" w:hAnsi="Arial"/>
                <w:sz w:val="18"/>
                <w:szCs w:val="18"/>
                <w:b w:val="1"/>
                <w:bCs w:val="1"/>
                <w:color w:val="auto"/>
              </w:rPr>
              <w:t>June 30,</w:t>
            </w:r>
          </w:p>
        </w:tc>
        <w:tc>
          <w:tcPr>
            <w:tcW w:w="5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8"/>
                <w:szCs w:val="18"/>
                <w:b w:val="1"/>
                <w:bCs w:val="1"/>
                <w:color w:val="auto"/>
              </w:rPr>
              <w:t>June 30,</w:t>
            </w:r>
          </w:p>
        </w:tc>
        <w:tc>
          <w:tcPr>
            <w:tcW w:w="1100" w:type="dxa"/>
            <w:vAlign w:val="bottom"/>
            <w:tcBorders>
              <w:bottom w:val="single" w:sz="8" w:color="auto"/>
            </w:tcBorders>
          </w:tcPr>
          <w:p>
            <w:pPr>
              <w:spacing w:after="0"/>
              <w:rPr>
                <w:sz w:val="20"/>
                <w:szCs w:val="20"/>
                <w:color w:val="auto"/>
              </w:rPr>
            </w:pPr>
          </w:p>
        </w:tc>
      </w:tr>
      <w:tr>
        <w:trPr>
          <w:trHeight w:val="187"/>
        </w:trPr>
        <w:tc>
          <w:tcPr>
            <w:tcW w:w="20" w:type="dxa"/>
            <w:vAlign w:val="bottom"/>
          </w:tcPr>
          <w:p>
            <w:pPr>
              <w:spacing w:after="0"/>
              <w:rPr>
                <w:sz w:val="16"/>
                <w:szCs w:val="16"/>
                <w:color w:val="auto"/>
              </w:rPr>
            </w:pPr>
          </w:p>
        </w:tc>
        <w:tc>
          <w:tcPr>
            <w:tcW w:w="4800" w:type="dxa"/>
            <w:vAlign w:val="bottom"/>
            <w:gridSpan w:val="2"/>
          </w:tcPr>
          <w:p>
            <w:pPr>
              <w:spacing w:after="0"/>
              <w:rPr>
                <w:sz w:val="20"/>
                <w:szCs w:val="20"/>
                <w:color w:val="auto"/>
              </w:rPr>
            </w:pPr>
            <w:r>
              <w:rPr>
                <w:rFonts w:ascii="Arial" w:cs="Arial" w:eastAsia="Arial" w:hAnsi="Arial"/>
                <w:sz w:val="16"/>
                <w:szCs w:val="16"/>
                <w:b w:val="1"/>
                <w:bCs w:val="1"/>
                <w:color w:val="auto"/>
              </w:rPr>
              <w:t>(In millions)</w:t>
            </w:r>
          </w:p>
        </w:tc>
        <w:tc>
          <w:tcPr>
            <w:tcW w:w="1020" w:type="dxa"/>
            <w:vAlign w:val="bottom"/>
          </w:tcPr>
          <w:p>
            <w:pPr>
              <w:jc w:val="right"/>
              <w:spacing w:after="0" w:line="187" w:lineRule="exact"/>
              <w:rPr>
                <w:sz w:val="20"/>
                <w:szCs w:val="20"/>
                <w:color w:val="auto"/>
              </w:rPr>
            </w:pPr>
            <w:r>
              <w:rPr>
                <w:rFonts w:ascii="Arial" w:cs="Arial" w:eastAsia="Arial" w:hAnsi="Arial"/>
                <w:sz w:val="18"/>
                <w:szCs w:val="18"/>
                <w:b w:val="1"/>
                <w:bCs w:val="1"/>
                <w:color w:val="auto"/>
              </w:rPr>
              <w:t>2023</w:t>
            </w:r>
          </w:p>
        </w:tc>
        <w:tc>
          <w:tcPr>
            <w:tcW w:w="500" w:type="dxa"/>
            <w:vAlign w:val="bottom"/>
          </w:tcPr>
          <w:p>
            <w:pPr>
              <w:spacing w:after="0"/>
              <w:rPr>
                <w:sz w:val="16"/>
                <w:szCs w:val="16"/>
                <w:color w:val="auto"/>
              </w:rPr>
            </w:pPr>
          </w:p>
        </w:tc>
        <w:tc>
          <w:tcPr>
            <w:tcW w:w="1140" w:type="dxa"/>
            <w:vAlign w:val="bottom"/>
            <w:gridSpan w:val="2"/>
          </w:tcPr>
          <w:p>
            <w:pPr>
              <w:jc w:val="right"/>
              <w:ind w:right="80"/>
              <w:spacing w:after="0" w:line="187" w:lineRule="exact"/>
              <w:rPr>
                <w:sz w:val="20"/>
                <w:szCs w:val="20"/>
                <w:color w:val="auto"/>
              </w:rPr>
            </w:pPr>
            <w:r>
              <w:rPr>
                <w:rFonts w:ascii="Arial" w:cs="Arial" w:eastAsia="Arial" w:hAnsi="Arial"/>
                <w:sz w:val="18"/>
                <w:szCs w:val="18"/>
                <w:b w:val="1"/>
                <w:bCs w:val="1"/>
                <w:color w:val="auto"/>
              </w:rPr>
              <w:t>2022</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jc w:val="right"/>
              <w:ind w:right="490"/>
              <w:spacing w:after="0" w:line="187" w:lineRule="exact"/>
              <w:rPr>
                <w:sz w:val="20"/>
                <w:szCs w:val="20"/>
                <w:color w:val="auto"/>
              </w:rPr>
            </w:pPr>
            <w:r>
              <w:rPr>
                <w:rFonts w:ascii="Arial" w:cs="Arial" w:eastAsia="Arial" w:hAnsi="Arial"/>
                <w:sz w:val="18"/>
                <w:szCs w:val="18"/>
                <w:b w:val="1"/>
                <w:bCs w:val="1"/>
                <w:color w:val="auto"/>
              </w:rPr>
              <w:t>2023</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00" w:type="dxa"/>
            <w:vAlign w:val="bottom"/>
          </w:tcPr>
          <w:p>
            <w:pPr>
              <w:jc w:val="right"/>
              <w:ind w:right="490"/>
              <w:spacing w:after="0" w:line="187" w:lineRule="exact"/>
              <w:rPr>
                <w:sz w:val="20"/>
                <w:szCs w:val="20"/>
                <w:color w:val="auto"/>
              </w:rPr>
            </w:pPr>
            <w:r>
              <w:rPr>
                <w:rFonts w:ascii="Arial" w:cs="Arial" w:eastAsia="Arial" w:hAnsi="Arial"/>
                <w:sz w:val="18"/>
                <w:szCs w:val="18"/>
                <w:b w:val="1"/>
                <w:bCs w:val="1"/>
                <w:color w:val="auto"/>
              </w:rPr>
              <w:t>2022</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394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90"/>
        </w:trPr>
        <w:tc>
          <w:tcPr>
            <w:tcW w:w="20" w:type="dxa"/>
            <w:vAlign w:val="bottom"/>
            <w:shd w:val="clear" w:color="auto" w:fill="CCEEFF"/>
          </w:tcPr>
          <w:p>
            <w:pPr>
              <w:spacing w:after="0"/>
              <w:rPr>
                <w:sz w:val="24"/>
                <w:szCs w:val="24"/>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02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114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w:t>
            </w:r>
          </w:p>
        </w:tc>
        <w:tc>
          <w:tcPr>
            <w:tcW w:w="5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w:t>
            </w:r>
          </w:p>
        </w:tc>
      </w:tr>
      <w:tr>
        <w:trPr>
          <w:trHeight w:val="297"/>
        </w:trPr>
        <w:tc>
          <w:tcPr>
            <w:tcW w:w="20" w:type="dxa"/>
            <w:vAlign w:val="bottom"/>
          </w:tcPr>
          <w:p>
            <w:pPr>
              <w:spacing w:after="0"/>
              <w:rPr>
                <w:sz w:val="24"/>
                <w:szCs w:val="24"/>
                <w:color w:val="auto"/>
              </w:rPr>
            </w:pPr>
          </w:p>
        </w:tc>
        <w:tc>
          <w:tcPr>
            <w:tcW w:w="4800" w:type="dxa"/>
            <w:vAlign w:val="bottom"/>
            <w:gridSpan w:val="2"/>
          </w:tcPr>
          <w:p>
            <w:pPr>
              <w:spacing w:after="0"/>
              <w:rPr>
                <w:sz w:val="20"/>
                <w:szCs w:val="20"/>
                <w:color w:val="auto"/>
              </w:rPr>
            </w:pPr>
            <w:r>
              <w:rPr>
                <w:rFonts w:ascii="Arial" w:cs="Arial" w:eastAsia="Arial" w:hAnsi="Arial"/>
                <w:sz w:val="18"/>
                <w:szCs w:val="18"/>
                <w:color w:val="auto"/>
              </w:rPr>
              <w:t>Interest income</w:t>
            </w:r>
          </w:p>
        </w:tc>
        <w:tc>
          <w:tcPr>
            <w:tcW w:w="10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r>
      <w:tr>
        <w:trPr>
          <w:trHeight w:val="283"/>
        </w:trPr>
        <w:tc>
          <w:tcPr>
            <w:tcW w:w="20" w:type="dxa"/>
            <w:vAlign w:val="bottom"/>
            <w:shd w:val="clear" w:color="auto" w:fill="CCEEFF"/>
          </w:tcPr>
          <w:p>
            <w:pPr>
              <w:spacing w:after="0"/>
              <w:rPr>
                <w:sz w:val="24"/>
                <w:szCs w:val="24"/>
                <w:color w:val="auto"/>
              </w:rPr>
            </w:pPr>
          </w:p>
        </w:tc>
        <w:tc>
          <w:tcPr>
            <w:tcW w:w="48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Interest expense, net</w:t>
            </w:r>
          </w:p>
        </w:tc>
        <w:tc>
          <w:tcPr>
            <w:tcW w:w="102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114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w:t>
            </w:r>
          </w:p>
        </w:tc>
        <w:tc>
          <w:tcPr>
            <w:tcW w:w="5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39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Recent Accounting Pronouncements</w:t>
      </w:r>
    </w:p>
    <w:p>
      <w:pPr>
        <w:spacing w:after="0" w:line="17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 xml:space="preserve">In 2022, the Financial Accounting Standards Board (“FASB”) issued Accounting Standards Update (“ASU”) No. 2022-02, </w:t>
      </w:r>
      <w:r>
        <w:rPr>
          <w:rFonts w:ascii="Arial" w:cs="Arial" w:eastAsia="Arial" w:hAnsi="Arial"/>
          <w:sz w:val="18"/>
          <w:szCs w:val="18"/>
          <w:i w:val="1"/>
          <w:iCs w:val="1"/>
          <w:color w:val="auto"/>
        </w:rPr>
        <w:t>Financial Instruments – Credit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Losses (Topic 326): Troubled Debt Restructurings and Vintage Disclosures </w:t>
      </w:r>
      <w:r>
        <w:rPr>
          <w:rFonts w:ascii="Arial" w:cs="Arial" w:eastAsia="Arial" w:hAnsi="Arial"/>
          <w:sz w:val="18"/>
          <w:szCs w:val="18"/>
          <w:color w:val="auto"/>
        </w:rPr>
        <w:t>(“ASU 2022-02”), which among other items, requires that entities disclose</w:t>
      </w:r>
      <w:r>
        <w:rPr>
          <w:rFonts w:ascii="Arial" w:cs="Arial" w:eastAsia="Arial" w:hAnsi="Arial"/>
          <w:sz w:val="18"/>
          <w:szCs w:val="18"/>
          <w:i w:val="1"/>
          <w:iCs w:val="1"/>
          <w:color w:val="auto"/>
        </w:rPr>
        <w:t xml:space="preserve"> </w:t>
      </w:r>
      <w:r>
        <w:rPr>
          <w:rFonts w:ascii="Arial" w:cs="Arial" w:eastAsia="Arial" w:hAnsi="Arial"/>
          <w:sz w:val="18"/>
          <w:szCs w:val="18"/>
          <w:color w:val="auto"/>
        </w:rPr>
        <w:t>current-period gross write-offs by year of origination for financing receivables and net investments in leases. For public entities, the provisions within ASU 2022-02 are to be applied prospectively and are effective for fiscal years beginning after December 15, 2022, including interim periods within those fiscal years. The Company adopted ASU 2022-02 effective January 1, 2023, and the adoption did not have a material impact on the Company’s financial statement disclosures for the six months ended June 30, 2023.</w:t>
      </w:r>
    </w:p>
    <w:p>
      <w:pPr>
        <w:spacing w:after="0" w:line="138"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 xml:space="preserve">In 2022, the FASB issued ASU No. 2022-03, </w:t>
      </w:r>
      <w:r>
        <w:rPr>
          <w:rFonts w:ascii="Arial" w:cs="Arial" w:eastAsia="Arial" w:hAnsi="Arial"/>
          <w:sz w:val="17"/>
          <w:szCs w:val="17"/>
          <w:i w:val="1"/>
          <w:iCs w:val="1"/>
          <w:color w:val="auto"/>
        </w:rPr>
        <w:t>Fair Value Measurement (Topic 820)</w:t>
      </w:r>
      <w:r>
        <w:rPr>
          <w:rFonts w:ascii="Arial" w:cs="Arial" w:eastAsia="Arial" w:hAnsi="Arial"/>
          <w:sz w:val="17"/>
          <w:szCs w:val="17"/>
          <w:color w:val="auto"/>
        </w:rPr>
        <w:t xml:space="preserve">: </w:t>
      </w:r>
      <w:r>
        <w:rPr>
          <w:rFonts w:ascii="Arial" w:cs="Arial" w:eastAsia="Arial" w:hAnsi="Arial"/>
          <w:sz w:val="17"/>
          <w:szCs w:val="17"/>
          <w:i w:val="1"/>
          <w:iCs w:val="1"/>
          <w:color w:val="auto"/>
        </w:rPr>
        <w:t>Fair Value Measurement of Equity Securities Subject to Contractual</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Sale Restrictions </w:t>
      </w:r>
      <w:r>
        <w:rPr>
          <w:rFonts w:ascii="Arial" w:cs="Arial" w:eastAsia="Arial" w:hAnsi="Arial"/>
          <w:sz w:val="17"/>
          <w:szCs w:val="17"/>
          <w:color w:val="auto"/>
        </w:rPr>
        <w:t>(“ASU 2022-03”), which clarifies the guidance in Accounting Standards Codification (“ASC”) Topic 820,</w:t>
      </w:r>
      <w:r>
        <w:rPr>
          <w:rFonts w:ascii="Arial" w:cs="Arial" w:eastAsia="Arial" w:hAnsi="Arial"/>
          <w:sz w:val="17"/>
          <w:szCs w:val="17"/>
          <w:i w:val="1"/>
          <w:iCs w:val="1"/>
          <w:color w:val="auto"/>
        </w:rPr>
        <w:t xml:space="preserve"> Fair Value Measurement </w:t>
      </w:r>
      <w:r>
        <w:rPr>
          <w:rFonts w:ascii="Arial" w:cs="Arial" w:eastAsia="Arial" w:hAnsi="Arial"/>
          <w:sz w:val="17"/>
          <w:szCs w:val="17"/>
          <w:color w:val="auto"/>
        </w:rPr>
        <w:t>(“Topic 820”), when measuring the fair value of an equity security subject to contractual restrictions that prohibit the sale of an equity security and introduces new disclosure requirements for equity securities subject to contractual sale restrictions that are measured at fair value in accordance with ASC Topic 820. For public entities, ASU 2022-03 is effective for fiscal years beginning after December 15, 2023, including interim periods within those fiscal years. The provisions within ASU 2022-03 are to be applied prospectively with any adjustments from the adoption</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recognized in earnings and disclosed on the date of adoption. The adoption of ASU 2022-03 is not expected to have a material impact on the Company’s consolidated financial statements or disclosures.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Revenue Recognition</w:t>
      </w:r>
    </w:p>
    <w:p>
      <w:pPr>
        <w:spacing w:after="0" w:line="175" w:lineRule="exact"/>
        <w:rPr>
          <w:sz w:val="20"/>
          <w:szCs w:val="20"/>
          <w:color w:val="auto"/>
        </w:rPr>
      </w:pPr>
    </w:p>
    <w:p>
      <w:pPr>
        <w:jc w:val="both"/>
        <w:ind w:right="60"/>
        <w:spacing w:after="0" w:line="286" w:lineRule="auto"/>
        <w:rPr>
          <w:sz w:val="20"/>
          <w:szCs w:val="20"/>
          <w:color w:val="auto"/>
        </w:rPr>
      </w:pPr>
      <w:r>
        <w:rPr>
          <w:rFonts w:ascii="Arial" w:cs="Arial" w:eastAsia="Arial" w:hAnsi="Arial"/>
          <w:sz w:val="17"/>
          <w:szCs w:val="17"/>
          <w:color w:val="auto"/>
        </w:rPr>
        <w:t>The Company generates revenue from the delivery of processing, service and product solutions. Revenue is measured based on consideration specified in a contract with a customer, and excludes any amounts collected on behalf of third parties. The Company recognizes revenue when it satisfies a performance obligation by transferring control over a product or service to a customer which may be at a point in time or over time.</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Disaggregation of Revenue</w:t>
      </w:r>
    </w:p>
    <w:p>
      <w:pPr>
        <w:spacing w:after="0" w:line="171"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The Company’s operations are comprised of the Merchant Acceptance (“Acceptance”) segment, the Financial Technology (“Fintech”) segment and the Payments and Network (“Payments”) segment. Additional information regarding the Company’s business segments is included in Note 19. The tables below present the Company’s revenue disaggregated by type of revenue, including a reconciliation with its reportable segments. The majority of the Company’s revenue is earned domestically, with revenue generated outside the U.S. comprising approximately 14% of total revenue for each of the three and six months ended June 30, 2023 and 2022.</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4060" w:type="dxa"/>
            <w:vAlign w:val="bottom"/>
            <w:gridSpan w:val="3"/>
          </w:tcPr>
          <w:p>
            <w:pPr>
              <w:spacing w:after="0"/>
              <w:rPr>
                <w:sz w:val="20"/>
                <w:szCs w:val="20"/>
                <w:color w:val="auto"/>
              </w:rPr>
            </w:pPr>
            <w:r>
              <w:rPr>
                <w:rFonts w:ascii="Arial" w:cs="Arial" w:eastAsia="Arial" w:hAnsi="Arial"/>
                <w:sz w:val="16"/>
                <w:szCs w:val="16"/>
                <w:b w:val="1"/>
                <w:bCs w:val="1"/>
                <w:color w:val="auto"/>
              </w:rPr>
              <w:t>(In millions)</w:t>
            </w: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0" w:type="dxa"/>
            <w:vAlign w:val="bottom"/>
            <w:gridSpan w:val="6"/>
          </w:tcPr>
          <w:p>
            <w:pPr>
              <w:jc w:val="right"/>
              <w:ind w:right="160"/>
              <w:spacing w:after="0"/>
              <w:rPr>
                <w:sz w:val="20"/>
                <w:szCs w:val="20"/>
                <w:color w:val="auto"/>
              </w:rPr>
            </w:pPr>
            <w:r>
              <w:rPr>
                <w:rFonts w:ascii="Arial" w:cs="Arial" w:eastAsia="Arial" w:hAnsi="Arial"/>
                <w:sz w:val="18"/>
                <w:szCs w:val="18"/>
                <w:b w:val="1"/>
                <w:bCs w:val="1"/>
                <w:color w:val="auto"/>
                <w:w w:val="87"/>
              </w:rPr>
              <w:t>Reportable Segments</w:t>
            </w: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Borders>
              <w:top w:val="single" w:sz="8" w:color="auto"/>
            </w:tcBorders>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vMerge w:val="restart"/>
          </w:tcPr>
          <w:p>
            <w:pPr>
              <w:jc w:val="right"/>
              <w:ind w:right="190"/>
              <w:spacing w:after="0" w:line="196" w:lineRule="exact"/>
              <w:rPr>
                <w:sz w:val="20"/>
                <w:szCs w:val="20"/>
                <w:color w:val="auto"/>
              </w:rPr>
            </w:pPr>
            <w:r>
              <w:rPr>
                <w:rFonts w:ascii="Arial" w:cs="Arial" w:eastAsia="Arial" w:hAnsi="Arial"/>
                <w:sz w:val="18"/>
                <w:szCs w:val="18"/>
                <w:b w:val="1"/>
                <w:bCs w:val="1"/>
                <w:color w:val="auto"/>
                <w:w w:val="99"/>
              </w:rPr>
              <w:t>Corporate</w:t>
            </w: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39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Type of Revenue</w:t>
            </w:r>
          </w:p>
        </w:tc>
        <w:tc>
          <w:tcPr>
            <w:tcW w:w="8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vMerge w:val="restart"/>
          </w:tcPr>
          <w:p>
            <w:pPr>
              <w:jc w:val="right"/>
              <w:ind w:right="90"/>
              <w:spacing w:after="0"/>
              <w:rPr>
                <w:sz w:val="20"/>
                <w:szCs w:val="20"/>
                <w:color w:val="auto"/>
              </w:rPr>
            </w:pPr>
            <w:r>
              <w:rPr>
                <w:rFonts w:ascii="Arial" w:cs="Arial" w:eastAsia="Arial" w:hAnsi="Arial"/>
                <w:sz w:val="18"/>
                <w:szCs w:val="18"/>
                <w:b w:val="1"/>
                <w:bCs w:val="1"/>
                <w:color w:val="auto"/>
                <w:w w:val="92"/>
              </w:rPr>
              <w:t>Acceptance</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vMerge w:val="restart"/>
          </w:tcPr>
          <w:p>
            <w:pPr>
              <w:jc w:val="right"/>
              <w:ind w:right="290"/>
              <w:spacing w:after="0"/>
              <w:rPr>
                <w:sz w:val="20"/>
                <w:szCs w:val="20"/>
                <w:color w:val="auto"/>
              </w:rPr>
            </w:pPr>
            <w:r>
              <w:rPr>
                <w:rFonts w:ascii="Arial" w:cs="Arial" w:eastAsia="Arial" w:hAnsi="Arial"/>
                <w:sz w:val="18"/>
                <w:szCs w:val="18"/>
                <w:b w:val="1"/>
                <w:bCs w:val="1"/>
                <w:color w:val="auto"/>
              </w:rPr>
              <w:t>Fintech</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vMerge w:val="restart"/>
          </w:tcPr>
          <w:p>
            <w:pPr>
              <w:jc w:val="right"/>
              <w:ind w:right="230"/>
              <w:spacing w:after="0"/>
              <w:rPr>
                <w:sz w:val="20"/>
                <w:szCs w:val="20"/>
                <w:color w:val="auto"/>
              </w:rPr>
            </w:pPr>
            <w:r>
              <w:rPr>
                <w:rFonts w:ascii="Arial" w:cs="Arial" w:eastAsia="Arial" w:hAnsi="Arial"/>
                <w:sz w:val="18"/>
                <w:szCs w:val="18"/>
                <w:b w:val="1"/>
                <w:bCs w:val="1"/>
                <w:color w:val="auto"/>
                <w:w w:val="96"/>
              </w:rPr>
              <w:t>Payments</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vMerge w:val="restart"/>
          </w:tcPr>
          <w:p>
            <w:pPr>
              <w:jc w:val="right"/>
              <w:ind w:right="37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9"/>
        </w:trPr>
        <w:tc>
          <w:tcPr>
            <w:tcW w:w="20" w:type="dxa"/>
            <w:vAlign w:val="bottom"/>
            <w:tcBorders>
              <w:bottom w:val="single" w:sz="8" w:color="auto"/>
            </w:tcBorders>
          </w:tcPr>
          <w:p>
            <w:pPr>
              <w:spacing w:after="0"/>
              <w:rPr>
                <w:sz w:val="19"/>
                <w:szCs w:val="19"/>
                <w:color w:val="auto"/>
              </w:rPr>
            </w:pPr>
          </w:p>
        </w:tc>
        <w:tc>
          <w:tcPr>
            <w:tcW w:w="3980" w:type="dxa"/>
            <w:vAlign w:val="bottom"/>
            <w:tcBorders>
              <w:bottom w:val="single" w:sz="8" w:color="auto"/>
            </w:tcBorders>
            <w:gridSpan w:val="2"/>
            <w:vMerge w:val="continue"/>
          </w:tcPr>
          <w:p>
            <w:pPr>
              <w:spacing w:after="0"/>
              <w:rPr>
                <w:sz w:val="19"/>
                <w:szCs w:val="19"/>
                <w:color w:val="auto"/>
              </w:rPr>
            </w:pPr>
          </w:p>
        </w:tc>
        <w:tc>
          <w:tcPr>
            <w:tcW w:w="80" w:type="dxa"/>
            <w:vAlign w:val="bottom"/>
            <w:vMerge w:val="continue"/>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vMerge w:val="continue"/>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vMerge w:val="continue"/>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and Other</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406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Three Months Ended June 30, 2023</w:t>
            </w:r>
          </w:p>
        </w:tc>
        <w:tc>
          <w:tcPr>
            <w:tcW w:w="1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060" w:type="dxa"/>
            <w:vAlign w:val="bottom"/>
            <w:gridSpan w:val="3"/>
          </w:tcPr>
          <w:p>
            <w:pPr>
              <w:spacing w:after="0"/>
              <w:rPr>
                <w:sz w:val="20"/>
                <w:szCs w:val="20"/>
                <w:color w:val="auto"/>
              </w:rPr>
            </w:pPr>
            <w:r>
              <w:rPr>
                <w:rFonts w:ascii="Arial" w:cs="Arial" w:eastAsia="Arial" w:hAnsi="Arial"/>
                <w:sz w:val="18"/>
                <w:szCs w:val="18"/>
                <w:color w:val="auto"/>
              </w:rPr>
              <w:t>Processing</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1,772</w:t>
            </w:r>
          </w:p>
        </w:tc>
        <w:tc>
          <w:tcPr>
            <w:tcW w:w="40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414</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1,213</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7</w:t>
            </w: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3,406</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Hardware, print and card production</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060" w:type="dxa"/>
            <w:vAlign w:val="bottom"/>
            <w:gridSpan w:val="3"/>
          </w:tcPr>
          <w:p>
            <w:pPr>
              <w:spacing w:after="0"/>
              <w:rPr>
                <w:sz w:val="20"/>
                <w:szCs w:val="20"/>
                <w:color w:val="auto"/>
              </w:rPr>
            </w:pPr>
            <w:r>
              <w:rPr>
                <w:rFonts w:ascii="Arial" w:cs="Arial" w:eastAsia="Arial" w:hAnsi="Arial"/>
                <w:sz w:val="18"/>
                <w:szCs w:val="18"/>
                <w:color w:val="auto"/>
              </w:rPr>
              <w:t>Professional services</w:t>
            </w:r>
          </w:p>
        </w:tc>
        <w:tc>
          <w:tcPr>
            <w:tcW w:w="1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117</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68</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36"/>
        </w:trPr>
        <w:tc>
          <w:tcPr>
            <w:tcW w:w="20" w:type="dxa"/>
            <w:vAlign w:val="bottom"/>
            <w:shd w:val="clear" w:color="auto" w:fill="CCEEFF"/>
          </w:tcPr>
          <w:p>
            <w:pPr>
              <w:spacing w:after="0"/>
              <w:rPr>
                <w:sz w:val="20"/>
                <w:szCs w:val="20"/>
                <w:color w:val="auto"/>
              </w:rPr>
            </w:pPr>
          </w:p>
        </w:tc>
        <w:tc>
          <w:tcPr>
            <w:tcW w:w="4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Software maintenance</w:t>
            </w:r>
          </w:p>
        </w:tc>
        <w:tc>
          <w:tcPr>
            <w:tcW w:w="18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060" w:type="dxa"/>
            <w:vAlign w:val="bottom"/>
            <w:gridSpan w:val="3"/>
          </w:tcPr>
          <w:p>
            <w:pPr>
              <w:spacing w:after="0"/>
              <w:rPr>
                <w:sz w:val="20"/>
                <w:szCs w:val="20"/>
                <w:color w:val="auto"/>
              </w:rPr>
            </w:pPr>
            <w:r>
              <w:rPr>
                <w:rFonts w:ascii="Arial" w:cs="Arial" w:eastAsia="Arial" w:hAnsi="Arial"/>
                <w:sz w:val="18"/>
                <w:szCs w:val="18"/>
                <w:color w:val="auto"/>
              </w:rPr>
              <w:t>License and termination fees</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46</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4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Output Solutions postage</w:t>
            </w:r>
          </w:p>
        </w:tc>
        <w:tc>
          <w:tcPr>
            <w:tcW w:w="18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60" w:type="dxa"/>
            <w:vAlign w:val="bottom"/>
            <w:gridSpan w:val="3"/>
          </w:tcPr>
          <w:p>
            <w:pPr>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40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Total Revenue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2,065</w:t>
            </w:r>
          </w:p>
        </w:tc>
        <w:tc>
          <w:tcPr>
            <w:tcW w:w="4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784</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1,645</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4,756</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3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406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Three Months Ended June 30, 2022</w:t>
            </w:r>
          </w:p>
        </w:tc>
        <w:tc>
          <w:tcPr>
            <w:tcW w:w="18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060" w:type="dxa"/>
            <w:vAlign w:val="bottom"/>
            <w:gridSpan w:val="3"/>
          </w:tcPr>
          <w:p>
            <w:pPr>
              <w:spacing w:after="0"/>
              <w:rPr>
                <w:sz w:val="20"/>
                <w:szCs w:val="20"/>
                <w:color w:val="auto"/>
              </w:rPr>
            </w:pPr>
            <w:r>
              <w:rPr>
                <w:rFonts w:ascii="Arial" w:cs="Arial" w:eastAsia="Arial" w:hAnsi="Arial"/>
                <w:sz w:val="18"/>
                <w:szCs w:val="18"/>
                <w:color w:val="auto"/>
              </w:rPr>
              <w:t>Processing</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1,660</w:t>
            </w:r>
          </w:p>
        </w:tc>
        <w:tc>
          <w:tcPr>
            <w:tcW w:w="40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398</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1,155</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6</w:t>
            </w: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3,219</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Hardware, print and card production</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060" w:type="dxa"/>
            <w:vAlign w:val="bottom"/>
            <w:gridSpan w:val="3"/>
          </w:tcPr>
          <w:p>
            <w:pPr>
              <w:spacing w:after="0"/>
              <w:rPr>
                <w:sz w:val="20"/>
                <w:szCs w:val="20"/>
                <w:color w:val="auto"/>
              </w:rPr>
            </w:pPr>
            <w:r>
              <w:rPr>
                <w:rFonts w:ascii="Arial" w:cs="Arial" w:eastAsia="Arial" w:hAnsi="Arial"/>
                <w:sz w:val="18"/>
                <w:szCs w:val="18"/>
                <w:color w:val="auto"/>
              </w:rPr>
              <w:t>Professional services</w:t>
            </w:r>
          </w:p>
        </w:tc>
        <w:tc>
          <w:tcPr>
            <w:tcW w:w="1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131</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67</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36"/>
        </w:trPr>
        <w:tc>
          <w:tcPr>
            <w:tcW w:w="20" w:type="dxa"/>
            <w:vAlign w:val="bottom"/>
            <w:shd w:val="clear" w:color="auto" w:fill="CCEEFF"/>
          </w:tcPr>
          <w:p>
            <w:pPr>
              <w:spacing w:after="0"/>
              <w:rPr>
                <w:sz w:val="20"/>
                <w:szCs w:val="20"/>
                <w:color w:val="auto"/>
              </w:rPr>
            </w:pPr>
          </w:p>
        </w:tc>
        <w:tc>
          <w:tcPr>
            <w:tcW w:w="4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Software maintenance</w:t>
            </w:r>
          </w:p>
        </w:tc>
        <w:tc>
          <w:tcPr>
            <w:tcW w:w="18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60" w:type="dxa"/>
            <w:vAlign w:val="bottom"/>
            <w:gridSpan w:val="3"/>
          </w:tcPr>
          <w:p>
            <w:pPr>
              <w:spacing w:after="0"/>
              <w:rPr>
                <w:sz w:val="20"/>
                <w:szCs w:val="20"/>
                <w:color w:val="auto"/>
              </w:rPr>
            </w:pPr>
            <w:r>
              <w:rPr>
                <w:rFonts w:ascii="Arial" w:cs="Arial" w:eastAsia="Arial" w:hAnsi="Arial"/>
                <w:sz w:val="18"/>
                <w:szCs w:val="18"/>
                <w:color w:val="auto"/>
              </w:rPr>
              <w:t>License and termination fees</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68</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4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Output Solutions postage</w:t>
            </w:r>
          </w:p>
        </w:tc>
        <w:tc>
          <w:tcPr>
            <w:tcW w:w="18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60" w:type="dxa"/>
            <w:vAlign w:val="bottom"/>
            <w:gridSpan w:val="3"/>
          </w:tcPr>
          <w:p>
            <w:pPr>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40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Total Revenue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1,901</w:t>
            </w:r>
          </w:p>
        </w:tc>
        <w:tc>
          <w:tcPr>
            <w:tcW w:w="4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1,518</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4,450</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3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4060" w:type="dxa"/>
            <w:vAlign w:val="bottom"/>
            <w:gridSpan w:val="3"/>
          </w:tcPr>
          <w:p>
            <w:pPr>
              <w:spacing w:after="0"/>
              <w:rPr>
                <w:sz w:val="20"/>
                <w:szCs w:val="20"/>
                <w:color w:val="auto"/>
              </w:rPr>
            </w:pPr>
            <w:r>
              <w:rPr>
                <w:rFonts w:ascii="Arial" w:cs="Arial" w:eastAsia="Arial" w:hAnsi="Arial"/>
                <w:sz w:val="16"/>
                <w:szCs w:val="16"/>
                <w:b w:val="1"/>
                <w:bCs w:val="1"/>
                <w:color w:val="auto"/>
              </w:rPr>
              <w:t>(In millions)</w:t>
            </w: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0" w:type="dxa"/>
            <w:vAlign w:val="bottom"/>
            <w:gridSpan w:val="6"/>
          </w:tcPr>
          <w:p>
            <w:pPr>
              <w:jc w:val="right"/>
              <w:ind w:right="160"/>
              <w:spacing w:after="0"/>
              <w:rPr>
                <w:sz w:val="20"/>
                <w:szCs w:val="20"/>
                <w:color w:val="auto"/>
              </w:rPr>
            </w:pPr>
            <w:r>
              <w:rPr>
                <w:rFonts w:ascii="Arial" w:cs="Arial" w:eastAsia="Arial" w:hAnsi="Arial"/>
                <w:sz w:val="18"/>
                <w:szCs w:val="18"/>
                <w:b w:val="1"/>
                <w:bCs w:val="1"/>
                <w:color w:val="auto"/>
                <w:w w:val="87"/>
              </w:rPr>
              <w:t>Reportable Segments</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Borders>
              <w:top w:val="single" w:sz="8" w:color="auto"/>
            </w:tcBorders>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vMerge w:val="restart"/>
          </w:tcPr>
          <w:p>
            <w:pPr>
              <w:jc w:val="right"/>
              <w:ind w:right="190"/>
              <w:spacing w:after="0" w:line="196" w:lineRule="exact"/>
              <w:rPr>
                <w:sz w:val="20"/>
                <w:szCs w:val="20"/>
                <w:color w:val="auto"/>
              </w:rPr>
            </w:pPr>
            <w:r>
              <w:rPr>
                <w:rFonts w:ascii="Arial" w:cs="Arial" w:eastAsia="Arial" w:hAnsi="Arial"/>
                <w:sz w:val="18"/>
                <w:szCs w:val="18"/>
                <w:b w:val="1"/>
                <w:bCs w:val="1"/>
                <w:color w:val="auto"/>
                <w:w w:val="99"/>
              </w:rPr>
              <w:t>Corporate</w:t>
            </w: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39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Type of Revenue</w:t>
            </w:r>
          </w:p>
        </w:tc>
        <w:tc>
          <w:tcPr>
            <w:tcW w:w="8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vMerge w:val="restart"/>
          </w:tcPr>
          <w:p>
            <w:pPr>
              <w:jc w:val="right"/>
              <w:ind w:right="90"/>
              <w:spacing w:after="0"/>
              <w:rPr>
                <w:sz w:val="20"/>
                <w:szCs w:val="20"/>
                <w:color w:val="auto"/>
              </w:rPr>
            </w:pPr>
            <w:r>
              <w:rPr>
                <w:rFonts w:ascii="Arial" w:cs="Arial" w:eastAsia="Arial" w:hAnsi="Arial"/>
                <w:sz w:val="18"/>
                <w:szCs w:val="18"/>
                <w:b w:val="1"/>
                <w:bCs w:val="1"/>
                <w:color w:val="auto"/>
                <w:w w:val="92"/>
              </w:rPr>
              <w:t>Acceptance</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vMerge w:val="restart"/>
          </w:tcPr>
          <w:p>
            <w:pPr>
              <w:jc w:val="right"/>
              <w:ind w:right="290"/>
              <w:spacing w:after="0"/>
              <w:rPr>
                <w:sz w:val="20"/>
                <w:szCs w:val="20"/>
                <w:color w:val="auto"/>
              </w:rPr>
            </w:pPr>
            <w:r>
              <w:rPr>
                <w:rFonts w:ascii="Arial" w:cs="Arial" w:eastAsia="Arial" w:hAnsi="Arial"/>
                <w:sz w:val="18"/>
                <w:szCs w:val="18"/>
                <w:b w:val="1"/>
                <w:bCs w:val="1"/>
                <w:color w:val="auto"/>
              </w:rPr>
              <w:t>Fintech</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vMerge w:val="restart"/>
          </w:tcPr>
          <w:p>
            <w:pPr>
              <w:jc w:val="right"/>
              <w:ind w:right="210"/>
              <w:spacing w:after="0"/>
              <w:rPr>
                <w:sz w:val="20"/>
                <w:szCs w:val="20"/>
                <w:color w:val="auto"/>
              </w:rPr>
            </w:pPr>
            <w:r>
              <w:rPr>
                <w:rFonts w:ascii="Arial" w:cs="Arial" w:eastAsia="Arial" w:hAnsi="Arial"/>
                <w:sz w:val="18"/>
                <w:szCs w:val="18"/>
                <w:b w:val="1"/>
                <w:bCs w:val="1"/>
                <w:color w:val="auto"/>
                <w:w w:val="96"/>
              </w:rPr>
              <w:t>Payments</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vMerge w:val="restart"/>
          </w:tcPr>
          <w:p>
            <w:pPr>
              <w:jc w:val="right"/>
              <w:ind w:right="37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9"/>
        </w:trPr>
        <w:tc>
          <w:tcPr>
            <w:tcW w:w="20" w:type="dxa"/>
            <w:vAlign w:val="bottom"/>
            <w:tcBorders>
              <w:bottom w:val="single" w:sz="8" w:color="auto"/>
            </w:tcBorders>
          </w:tcPr>
          <w:p>
            <w:pPr>
              <w:spacing w:after="0"/>
              <w:rPr>
                <w:sz w:val="19"/>
                <w:szCs w:val="19"/>
                <w:color w:val="auto"/>
              </w:rPr>
            </w:pPr>
          </w:p>
        </w:tc>
        <w:tc>
          <w:tcPr>
            <w:tcW w:w="3980" w:type="dxa"/>
            <w:vAlign w:val="bottom"/>
            <w:tcBorders>
              <w:bottom w:val="single" w:sz="8" w:color="auto"/>
            </w:tcBorders>
            <w:gridSpan w:val="2"/>
            <w:vMerge w:val="continue"/>
          </w:tcPr>
          <w:p>
            <w:pPr>
              <w:spacing w:after="0"/>
              <w:rPr>
                <w:sz w:val="19"/>
                <w:szCs w:val="19"/>
                <w:color w:val="auto"/>
              </w:rPr>
            </w:pPr>
          </w:p>
        </w:tc>
        <w:tc>
          <w:tcPr>
            <w:tcW w:w="80" w:type="dxa"/>
            <w:vAlign w:val="bottom"/>
            <w:vMerge w:val="continue"/>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vMerge w:val="continue"/>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and Other</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406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Six Months Ended June 30, 2023</w:t>
            </w:r>
          </w:p>
        </w:tc>
        <w:tc>
          <w:tcPr>
            <w:tcW w:w="1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060" w:type="dxa"/>
            <w:vAlign w:val="bottom"/>
            <w:gridSpan w:val="3"/>
          </w:tcPr>
          <w:p>
            <w:pPr>
              <w:spacing w:after="0"/>
              <w:rPr>
                <w:sz w:val="20"/>
                <w:szCs w:val="20"/>
                <w:color w:val="auto"/>
              </w:rPr>
            </w:pPr>
            <w:r>
              <w:rPr>
                <w:rFonts w:ascii="Arial" w:cs="Arial" w:eastAsia="Arial" w:hAnsi="Arial"/>
                <w:sz w:val="18"/>
                <w:szCs w:val="18"/>
                <w:color w:val="auto"/>
              </w:rPr>
              <w:t>Processing</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3,326</w:t>
            </w:r>
          </w:p>
        </w:tc>
        <w:tc>
          <w:tcPr>
            <w:tcW w:w="40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830</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2,400</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13</w:t>
            </w: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6,569</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Hardware, print and card production</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1,066</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060" w:type="dxa"/>
            <w:vAlign w:val="bottom"/>
            <w:gridSpan w:val="3"/>
          </w:tcPr>
          <w:p>
            <w:pPr>
              <w:spacing w:after="0"/>
              <w:rPr>
                <w:sz w:val="20"/>
                <w:szCs w:val="20"/>
                <w:color w:val="auto"/>
              </w:rPr>
            </w:pPr>
            <w:r>
              <w:rPr>
                <w:rFonts w:ascii="Arial" w:cs="Arial" w:eastAsia="Arial" w:hAnsi="Arial"/>
                <w:sz w:val="18"/>
                <w:szCs w:val="18"/>
                <w:color w:val="auto"/>
              </w:rPr>
              <w:t>Professional services</w:t>
            </w:r>
          </w:p>
        </w:tc>
        <w:tc>
          <w:tcPr>
            <w:tcW w:w="1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229</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387</w:t>
            </w:r>
          </w:p>
        </w:tc>
        <w:tc>
          <w:tcPr>
            <w:tcW w:w="0" w:type="dxa"/>
            <w:vAlign w:val="bottom"/>
          </w:tcPr>
          <w:p>
            <w:pPr>
              <w:spacing w:after="0"/>
              <w:rPr>
                <w:sz w:val="1"/>
                <w:szCs w:val="1"/>
                <w:color w:val="auto"/>
              </w:rPr>
            </w:pPr>
          </w:p>
        </w:tc>
      </w:tr>
      <w:tr>
        <w:trPr>
          <w:trHeight w:val="236"/>
        </w:trPr>
        <w:tc>
          <w:tcPr>
            <w:tcW w:w="20" w:type="dxa"/>
            <w:vAlign w:val="bottom"/>
            <w:shd w:val="clear" w:color="auto" w:fill="CCEEFF"/>
          </w:tcPr>
          <w:p>
            <w:pPr>
              <w:spacing w:after="0"/>
              <w:rPr>
                <w:sz w:val="20"/>
                <w:szCs w:val="20"/>
                <w:color w:val="auto"/>
              </w:rPr>
            </w:pPr>
          </w:p>
        </w:tc>
        <w:tc>
          <w:tcPr>
            <w:tcW w:w="4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Software maintenance</w:t>
            </w:r>
          </w:p>
        </w:tc>
        <w:tc>
          <w:tcPr>
            <w:tcW w:w="18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060" w:type="dxa"/>
            <w:vAlign w:val="bottom"/>
            <w:gridSpan w:val="3"/>
          </w:tcPr>
          <w:p>
            <w:pPr>
              <w:spacing w:after="0"/>
              <w:rPr>
                <w:sz w:val="20"/>
                <w:szCs w:val="20"/>
                <w:color w:val="auto"/>
              </w:rPr>
            </w:pPr>
            <w:r>
              <w:rPr>
                <w:rFonts w:ascii="Arial" w:cs="Arial" w:eastAsia="Arial" w:hAnsi="Arial"/>
                <w:sz w:val="18"/>
                <w:szCs w:val="18"/>
                <w:color w:val="auto"/>
              </w:rPr>
              <w:t>License and termination fees</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99</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4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Output Solutions postage</w:t>
            </w:r>
          </w:p>
        </w:tc>
        <w:tc>
          <w:tcPr>
            <w:tcW w:w="18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060" w:type="dxa"/>
            <w:vAlign w:val="bottom"/>
            <w:gridSpan w:val="3"/>
          </w:tcPr>
          <w:p>
            <w:pPr>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w:t>
            </w:r>
          </w:p>
        </w:tc>
        <w:tc>
          <w:tcPr>
            <w:tcW w:w="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w:t>
            </w: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40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Total Revenue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3,912</w:t>
            </w:r>
          </w:p>
        </w:tc>
        <w:tc>
          <w:tcPr>
            <w:tcW w:w="4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1,576</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3,274</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w:t>
            </w: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9,303</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3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406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Six Months Ended June 30, 2022</w:t>
            </w:r>
          </w:p>
        </w:tc>
        <w:tc>
          <w:tcPr>
            <w:tcW w:w="18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060" w:type="dxa"/>
            <w:vAlign w:val="bottom"/>
            <w:gridSpan w:val="3"/>
          </w:tcPr>
          <w:p>
            <w:pPr>
              <w:spacing w:after="0"/>
              <w:rPr>
                <w:sz w:val="20"/>
                <w:szCs w:val="20"/>
                <w:color w:val="auto"/>
              </w:rPr>
            </w:pPr>
            <w:r>
              <w:rPr>
                <w:rFonts w:ascii="Arial" w:cs="Arial" w:eastAsia="Arial" w:hAnsi="Arial"/>
                <w:sz w:val="18"/>
                <w:szCs w:val="18"/>
                <w:color w:val="auto"/>
              </w:rPr>
              <w:t>Processing</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3,063</w:t>
            </w:r>
          </w:p>
        </w:tc>
        <w:tc>
          <w:tcPr>
            <w:tcW w:w="40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803</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2,268</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12</w:t>
            </w: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6,146</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Hardware, print and card production</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932</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060" w:type="dxa"/>
            <w:vAlign w:val="bottom"/>
            <w:gridSpan w:val="3"/>
          </w:tcPr>
          <w:p>
            <w:pPr>
              <w:spacing w:after="0"/>
              <w:rPr>
                <w:sz w:val="20"/>
                <w:szCs w:val="20"/>
                <w:color w:val="auto"/>
              </w:rPr>
            </w:pPr>
            <w:r>
              <w:rPr>
                <w:rFonts w:ascii="Arial" w:cs="Arial" w:eastAsia="Arial" w:hAnsi="Arial"/>
                <w:sz w:val="18"/>
                <w:szCs w:val="18"/>
                <w:color w:val="auto"/>
              </w:rPr>
              <w:t>Professional services</w:t>
            </w:r>
          </w:p>
        </w:tc>
        <w:tc>
          <w:tcPr>
            <w:tcW w:w="1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247</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386</w:t>
            </w:r>
          </w:p>
        </w:tc>
        <w:tc>
          <w:tcPr>
            <w:tcW w:w="0" w:type="dxa"/>
            <w:vAlign w:val="bottom"/>
          </w:tcPr>
          <w:p>
            <w:pPr>
              <w:spacing w:after="0"/>
              <w:rPr>
                <w:sz w:val="1"/>
                <w:szCs w:val="1"/>
                <w:color w:val="auto"/>
              </w:rPr>
            </w:pPr>
          </w:p>
        </w:tc>
      </w:tr>
      <w:tr>
        <w:trPr>
          <w:trHeight w:val="236"/>
        </w:trPr>
        <w:tc>
          <w:tcPr>
            <w:tcW w:w="20" w:type="dxa"/>
            <w:vAlign w:val="bottom"/>
            <w:shd w:val="clear" w:color="auto" w:fill="CCEEFF"/>
          </w:tcPr>
          <w:p>
            <w:pPr>
              <w:spacing w:after="0"/>
              <w:rPr>
                <w:sz w:val="20"/>
                <w:szCs w:val="20"/>
                <w:color w:val="auto"/>
              </w:rPr>
            </w:pPr>
          </w:p>
        </w:tc>
        <w:tc>
          <w:tcPr>
            <w:tcW w:w="4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Software maintenance</w:t>
            </w:r>
          </w:p>
        </w:tc>
        <w:tc>
          <w:tcPr>
            <w:tcW w:w="18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60" w:type="dxa"/>
            <w:vAlign w:val="bottom"/>
            <w:gridSpan w:val="3"/>
          </w:tcPr>
          <w:p>
            <w:pPr>
              <w:spacing w:after="0"/>
              <w:rPr>
                <w:sz w:val="20"/>
                <w:szCs w:val="20"/>
                <w:color w:val="auto"/>
              </w:rPr>
            </w:pPr>
            <w:r>
              <w:rPr>
                <w:rFonts w:ascii="Arial" w:cs="Arial" w:eastAsia="Arial" w:hAnsi="Arial"/>
                <w:sz w:val="18"/>
                <w:szCs w:val="18"/>
                <w:color w:val="auto"/>
              </w:rPr>
              <w:t>License and termination fees</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116</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4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Output Solutions postage</w:t>
            </w:r>
          </w:p>
        </w:tc>
        <w:tc>
          <w:tcPr>
            <w:tcW w:w="18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60" w:type="dxa"/>
            <w:vAlign w:val="bottom"/>
            <w:gridSpan w:val="3"/>
          </w:tcPr>
          <w:p>
            <w:pPr>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w:t>
            </w:r>
          </w:p>
        </w:tc>
        <w:tc>
          <w:tcPr>
            <w:tcW w:w="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40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Total Revenue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3,554</w:t>
            </w:r>
          </w:p>
        </w:tc>
        <w:tc>
          <w:tcPr>
            <w:tcW w:w="4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1,581</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2,980</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w:t>
            </w: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8,588</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3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Balances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about contract assets and contract liabilities from contracts with customers: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7140" w:type="dxa"/>
            <w:vAlign w:val="bottom"/>
            <w:gridSpan w:val="2"/>
          </w:tcPr>
          <w:p>
            <w:pPr>
              <w:spacing w:after="0"/>
              <w:rPr>
                <w:sz w:val="20"/>
                <w:szCs w:val="20"/>
                <w:color w:val="auto"/>
              </w:rPr>
            </w:pPr>
            <w:r>
              <w:rPr>
                <w:rFonts w:ascii="Arial" w:cs="Arial" w:eastAsia="Arial" w:hAnsi="Arial"/>
                <w:sz w:val="16"/>
                <w:szCs w:val="16"/>
                <w:b w:val="1"/>
                <w:bCs w:val="1"/>
                <w:color w:val="auto"/>
              </w:rPr>
              <w:t>(In millions)</w:t>
            </w:r>
          </w:p>
        </w:tc>
        <w:tc>
          <w:tcPr>
            <w:tcW w:w="280" w:type="dxa"/>
            <w:vAlign w:val="bottom"/>
          </w:tcPr>
          <w:p>
            <w:pPr>
              <w:spacing w:after="0"/>
              <w:rPr>
                <w:sz w:val="18"/>
                <w:szCs w:val="18"/>
                <w:color w:val="auto"/>
              </w:rPr>
            </w:pPr>
          </w:p>
        </w:tc>
        <w:tc>
          <w:tcPr>
            <w:tcW w:w="1700" w:type="dxa"/>
            <w:vAlign w:val="bottom"/>
          </w:tcPr>
          <w:p>
            <w:pPr>
              <w:jc w:val="right"/>
              <w:ind w:right="370"/>
              <w:spacing w:after="0"/>
              <w:rPr>
                <w:sz w:val="20"/>
                <w:szCs w:val="20"/>
                <w:color w:val="auto"/>
              </w:rPr>
            </w:pPr>
            <w:r>
              <w:rPr>
                <w:rFonts w:ascii="Arial" w:cs="Arial" w:eastAsia="Arial" w:hAnsi="Arial"/>
                <w:sz w:val="18"/>
                <w:szCs w:val="18"/>
                <w:b w:val="1"/>
                <w:bCs w:val="1"/>
                <w:color w:val="auto"/>
              </w:rPr>
              <w:t>June 30, 2023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0" w:type="dxa"/>
            <w:vAlign w:val="bottom"/>
          </w:tcPr>
          <w:p>
            <w:pPr>
              <w:jc w:val="right"/>
              <w:ind w:right="190"/>
              <w:spacing w:after="0"/>
              <w:rPr>
                <w:sz w:val="20"/>
                <w:szCs w:val="20"/>
                <w:color w:val="auto"/>
              </w:rPr>
            </w:pPr>
            <w:r>
              <w:rPr>
                <w:rFonts w:ascii="Arial" w:cs="Arial" w:eastAsia="Arial" w:hAnsi="Arial"/>
                <w:sz w:val="18"/>
                <w:szCs w:val="18"/>
                <w:b w:val="1"/>
                <w:bCs w:val="1"/>
                <w:color w:val="auto"/>
                <w:w w:val="92"/>
              </w:rPr>
              <w:t>December 31, 2022</w:t>
            </w:r>
          </w:p>
        </w:tc>
      </w:tr>
      <w:tr>
        <w:trPr>
          <w:trHeight w:val="20"/>
        </w:trPr>
        <w:tc>
          <w:tcPr>
            <w:tcW w:w="20" w:type="dxa"/>
            <w:vAlign w:val="bottom"/>
          </w:tcPr>
          <w:p>
            <w:pPr>
              <w:spacing w:after="0" w:line="20" w:lineRule="exact"/>
              <w:rPr>
                <w:sz w:val="1"/>
                <w:szCs w:val="1"/>
                <w:color w:val="auto"/>
              </w:rPr>
            </w:pPr>
          </w:p>
        </w:tc>
        <w:tc>
          <w:tcPr>
            <w:tcW w:w="860" w:type="dxa"/>
            <w:vAlign w:val="bottom"/>
            <w:tcBorders>
              <w:top w:val="single" w:sz="8" w:color="auto"/>
            </w:tcBorders>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r>
        <w:trPr>
          <w:trHeight w:val="224"/>
        </w:trPr>
        <w:tc>
          <w:tcPr>
            <w:tcW w:w="20" w:type="dxa"/>
            <w:vAlign w:val="bottom"/>
            <w:shd w:val="clear" w:color="auto" w:fill="CCEEFF"/>
          </w:tcPr>
          <w:p>
            <w:pPr>
              <w:spacing w:after="0"/>
              <w:rPr>
                <w:sz w:val="19"/>
                <w:szCs w:val="19"/>
                <w:color w:val="auto"/>
              </w:rPr>
            </w:pPr>
          </w:p>
        </w:tc>
        <w:tc>
          <w:tcPr>
            <w:tcW w:w="7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Contract assets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w:t>
            </w:r>
          </w:p>
        </w:tc>
      </w:tr>
      <w:tr>
        <w:trPr>
          <w:trHeight w:val="230"/>
        </w:trPr>
        <w:tc>
          <w:tcPr>
            <w:tcW w:w="20" w:type="dxa"/>
            <w:vAlign w:val="bottom"/>
          </w:tcPr>
          <w:p>
            <w:pPr>
              <w:spacing w:after="0"/>
              <w:rPr>
                <w:sz w:val="20"/>
                <w:szCs w:val="20"/>
                <w:color w:val="auto"/>
              </w:rPr>
            </w:pPr>
          </w:p>
        </w:tc>
        <w:tc>
          <w:tcPr>
            <w:tcW w:w="7140" w:type="dxa"/>
            <w:vAlign w:val="bottom"/>
            <w:gridSpan w:val="2"/>
          </w:tcPr>
          <w:p>
            <w:pPr>
              <w:spacing w:after="0"/>
              <w:rPr>
                <w:sz w:val="20"/>
                <w:szCs w:val="20"/>
                <w:color w:val="auto"/>
              </w:rPr>
            </w:pPr>
            <w:r>
              <w:rPr>
                <w:rFonts w:ascii="Arial" w:cs="Arial" w:eastAsia="Arial" w:hAnsi="Arial"/>
                <w:sz w:val="18"/>
                <w:szCs w:val="18"/>
                <w:color w:val="auto"/>
              </w:rPr>
              <w:t>Contract liabilities</w:t>
            </w:r>
          </w:p>
        </w:tc>
        <w:tc>
          <w:tcPr>
            <w:tcW w:w="28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918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860</w:t>
            </w:r>
          </w:p>
        </w:tc>
      </w:tr>
    </w:tbl>
    <w:p>
      <w:pPr>
        <w:spacing w:after="0" w:line="241"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Contract assets, reported within other long-term assets in the consolidated balance sheets, primarily result from revenue being recognized where payment is contingent upon the transfer of services to a customer over the contractual period. Contract liabilities primarily relate to advance consideration received from customers (deferred revenue) for which transfer of control occurs, and therefore revenue is recognized, as services are provided. Contract balances are reported in a net contract asset or liability position on a contract-by-contract basis at the end of each reporting period. The Company recognized $405 million of revenue during the six months ended June 30, 2023 that was included in the contract liabilities balance at the beginning of the period.</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Transaction Price Allocated to Remaining Performance Obligations</w:t>
      </w:r>
    </w:p>
    <w:p>
      <w:pPr>
        <w:spacing w:after="0" w:line="17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following table includes estimated processing, services and product revenue expected to be recognized in the future related to performance obligations that were unsatisfied (or partially unsatisfied) at June 30, 2023:</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8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w w:val="93"/>
              </w:rPr>
              <w:t>(In millions)</w:t>
            </w:r>
          </w:p>
        </w:tc>
        <w:tc>
          <w:tcPr>
            <w:tcW w:w="4600" w:type="dxa"/>
            <w:vAlign w:val="bottom"/>
          </w:tcPr>
          <w:p>
            <w:pPr>
              <w:spacing w:after="0"/>
              <w:rPr>
                <w:sz w:val="16"/>
                <w:szCs w:val="16"/>
                <w:color w:val="auto"/>
              </w:rPr>
            </w:pPr>
          </w:p>
        </w:tc>
        <w:tc>
          <w:tcPr>
            <w:tcW w:w="4380" w:type="dxa"/>
            <w:vAlign w:val="bottom"/>
          </w:tcPr>
          <w:p>
            <w:pPr>
              <w:spacing w:after="0"/>
              <w:rPr>
                <w:sz w:val="16"/>
                <w:szCs w:val="16"/>
                <w:color w:val="auto"/>
              </w:rPr>
            </w:pPr>
          </w:p>
        </w:tc>
        <w:tc>
          <w:tcPr>
            <w:tcW w:w="1380" w:type="dxa"/>
            <w:vAlign w:val="bottom"/>
          </w:tcPr>
          <w:p>
            <w:pPr>
              <w:spacing w:after="0"/>
              <w:rPr>
                <w:sz w:val="16"/>
                <w:szCs w:val="16"/>
                <w:color w:val="auto"/>
              </w:rPr>
            </w:pPr>
          </w:p>
        </w:tc>
      </w:tr>
      <w:tr>
        <w:trPr>
          <w:trHeight w:val="250"/>
        </w:trPr>
        <w:tc>
          <w:tcPr>
            <w:tcW w:w="20" w:type="dxa"/>
            <w:vAlign w:val="bottom"/>
          </w:tcPr>
          <w:p>
            <w:pPr>
              <w:spacing w:after="0"/>
              <w:rPr>
                <w:sz w:val="21"/>
                <w:szCs w:val="21"/>
                <w:color w:val="auto"/>
              </w:rPr>
            </w:pPr>
          </w:p>
        </w:tc>
        <w:tc>
          <w:tcPr>
            <w:tcW w:w="5460" w:type="dxa"/>
            <w:vAlign w:val="bottom"/>
            <w:gridSpan w:val="2"/>
          </w:tcPr>
          <w:p>
            <w:pPr>
              <w:spacing w:after="0"/>
              <w:rPr>
                <w:sz w:val="20"/>
                <w:szCs w:val="20"/>
                <w:color w:val="auto"/>
              </w:rPr>
            </w:pPr>
            <w:r>
              <w:rPr>
                <w:rFonts w:ascii="Arial" w:cs="Arial" w:eastAsia="Arial" w:hAnsi="Arial"/>
                <w:sz w:val="18"/>
                <w:szCs w:val="18"/>
                <w:b w:val="1"/>
                <w:bCs w:val="1"/>
                <w:color w:val="auto"/>
              </w:rPr>
              <w:t>Year Ending December 31,</w:t>
            </w:r>
          </w:p>
        </w:tc>
        <w:tc>
          <w:tcPr>
            <w:tcW w:w="438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43"/>
        </w:trPr>
        <w:tc>
          <w:tcPr>
            <w:tcW w:w="20" w:type="dxa"/>
            <w:vAlign w:val="bottom"/>
            <w:shd w:val="clear" w:color="auto" w:fill="CCEEFF"/>
          </w:tcPr>
          <w:p>
            <w:pPr>
              <w:spacing w:after="0"/>
              <w:rPr>
                <w:sz w:val="21"/>
                <w:szCs w:val="21"/>
                <w:color w:val="auto"/>
              </w:rPr>
            </w:pPr>
          </w:p>
        </w:tc>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Remainder of 2023</w:t>
            </w:r>
          </w:p>
        </w:tc>
        <w:tc>
          <w:tcPr>
            <w:tcW w:w="438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1,170</w:t>
            </w:r>
          </w:p>
        </w:tc>
      </w:tr>
      <w:tr>
        <w:trPr>
          <w:trHeight w:val="230"/>
        </w:trPr>
        <w:tc>
          <w:tcPr>
            <w:tcW w:w="880" w:type="dxa"/>
            <w:vAlign w:val="bottom"/>
            <w:gridSpan w:val="2"/>
          </w:tcPr>
          <w:p>
            <w:pPr>
              <w:ind w:left="20"/>
              <w:spacing w:after="0"/>
              <w:rPr>
                <w:sz w:val="20"/>
                <w:szCs w:val="20"/>
                <w:color w:val="auto"/>
              </w:rPr>
            </w:pPr>
            <w:r>
              <w:rPr>
                <w:rFonts w:ascii="Arial" w:cs="Arial" w:eastAsia="Arial" w:hAnsi="Arial"/>
                <w:sz w:val="18"/>
                <w:szCs w:val="18"/>
                <w:color w:val="auto"/>
              </w:rPr>
              <w:t>2024</w:t>
            </w:r>
          </w:p>
        </w:tc>
        <w:tc>
          <w:tcPr>
            <w:tcW w:w="460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2,104</w:t>
            </w:r>
          </w:p>
        </w:tc>
      </w:tr>
      <w:tr>
        <w:trPr>
          <w:trHeight w:val="229"/>
        </w:trPr>
        <w:tc>
          <w:tcPr>
            <w:tcW w:w="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4600" w:type="dxa"/>
            <w:vAlign w:val="bottom"/>
            <w:shd w:val="clear" w:color="auto" w:fill="CCEEFF"/>
          </w:tcPr>
          <w:p>
            <w:pPr>
              <w:spacing w:after="0"/>
              <w:rPr>
                <w:sz w:val="19"/>
                <w:szCs w:val="19"/>
                <w:color w:val="auto"/>
              </w:rPr>
            </w:pPr>
          </w:p>
        </w:tc>
        <w:tc>
          <w:tcPr>
            <w:tcW w:w="43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1,664</w:t>
            </w:r>
          </w:p>
        </w:tc>
      </w:tr>
      <w:tr>
        <w:trPr>
          <w:trHeight w:val="237"/>
        </w:trPr>
        <w:tc>
          <w:tcPr>
            <w:tcW w:w="880" w:type="dxa"/>
            <w:vAlign w:val="bottom"/>
            <w:gridSpan w:val="2"/>
          </w:tcPr>
          <w:p>
            <w:pPr>
              <w:ind w:left="20"/>
              <w:spacing w:after="0"/>
              <w:rPr>
                <w:sz w:val="20"/>
                <w:szCs w:val="20"/>
                <w:color w:val="auto"/>
              </w:rPr>
            </w:pPr>
            <w:r>
              <w:rPr>
                <w:rFonts w:ascii="Arial" w:cs="Arial" w:eastAsia="Arial" w:hAnsi="Arial"/>
                <w:sz w:val="18"/>
                <w:szCs w:val="18"/>
                <w:color w:val="auto"/>
              </w:rPr>
              <w:t>2026</w:t>
            </w:r>
          </w:p>
        </w:tc>
        <w:tc>
          <w:tcPr>
            <w:tcW w:w="4600" w:type="dxa"/>
            <w:vAlign w:val="bottom"/>
          </w:tcPr>
          <w:p>
            <w:pPr>
              <w:spacing w:after="0"/>
              <w:rPr>
                <w:sz w:val="20"/>
                <w:szCs w:val="20"/>
                <w:color w:val="auto"/>
              </w:rPr>
            </w:pPr>
          </w:p>
        </w:tc>
        <w:tc>
          <w:tcPr>
            <w:tcW w:w="43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1,106</w:t>
            </w:r>
          </w:p>
        </w:tc>
      </w:tr>
      <w:tr>
        <w:trPr>
          <w:trHeight w:val="236"/>
        </w:trPr>
        <w:tc>
          <w:tcPr>
            <w:tcW w:w="20" w:type="dxa"/>
            <w:vAlign w:val="bottom"/>
            <w:shd w:val="clear" w:color="auto" w:fill="CCEEFF"/>
          </w:tcPr>
          <w:p>
            <w:pPr>
              <w:spacing w:after="0"/>
              <w:rPr>
                <w:sz w:val="20"/>
                <w:szCs w:val="20"/>
                <w:color w:val="auto"/>
              </w:rPr>
            </w:pPr>
          </w:p>
        </w:tc>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Thereafter</w:t>
            </w:r>
          </w:p>
        </w:tc>
        <w:tc>
          <w:tcPr>
            <w:tcW w:w="438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w:t>
            </w:r>
          </w:p>
        </w:tc>
      </w:tr>
    </w:tbl>
    <w:p>
      <w:pPr>
        <w:spacing w:after="0" w:line="242"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 xml:space="preserve">The Company applies the optional exemption under ASC Topic 606,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xml:space="preserve"> (“ASC 606”) and does not disclose information about remaining performance obligations for account- and transaction-based processing fees that qualify for recognition under the as-invoiced practical expedient. These multi-year contracts contain variable consideration for stand-ready performance obligations for which the exact quantity and mix of transactions to be processed are contingent upon the customer’s request. The Company also applies the optional exemptions under ASC 606 and does not disclose information for variable consideration that is a sales-based or usage-based royalty promised in exchange for a license of intellectual property or that is allocated entirely to a wholly unsatisfied performance obligation or to a wholly unsatisfied promise to transfer a distinct good or service in a series. The amounts disclosed above as remaining performance obligations consist primarily of fixed or monthly minimum processing fees and maintenance fees under contracts with an original expected duration of greater than one year.</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Acquisitions and Dispositions</w:t>
      </w:r>
    </w:p>
    <w:p>
      <w:pPr>
        <w:spacing w:after="0" w:line="175"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 xml:space="preserve">Acquisitions were accounted for as business combinations using the acquisition method of accounting in accordance with ASC Topic 805, </w:t>
      </w:r>
      <w:r>
        <w:rPr>
          <w:rFonts w:ascii="Arial" w:cs="Arial" w:eastAsia="Arial" w:hAnsi="Arial"/>
          <w:sz w:val="16"/>
          <w:szCs w:val="16"/>
          <w:i w:val="1"/>
          <w:iCs w:val="1"/>
          <w:color w:val="auto"/>
        </w:rPr>
        <w:t>Business</w:t>
      </w:r>
      <w:r>
        <w:rPr>
          <w:rFonts w:ascii="Arial" w:cs="Arial" w:eastAsia="Arial" w:hAnsi="Arial"/>
          <w:sz w:val="16"/>
          <w:szCs w:val="16"/>
          <w:color w:val="auto"/>
        </w:rPr>
        <w:t xml:space="preserve"> </w:t>
      </w:r>
      <w:r>
        <w:rPr>
          <w:rFonts w:ascii="Arial" w:cs="Arial" w:eastAsia="Arial" w:hAnsi="Arial"/>
          <w:sz w:val="16"/>
          <w:szCs w:val="16"/>
          <w:i w:val="1"/>
          <w:iCs w:val="1"/>
          <w:color w:val="auto"/>
        </w:rPr>
        <w:t>Combinations</w:t>
      </w:r>
      <w:r>
        <w:rPr>
          <w:rFonts w:ascii="Arial" w:cs="Arial" w:eastAsia="Arial" w:hAnsi="Arial"/>
          <w:sz w:val="16"/>
          <w:szCs w:val="16"/>
          <w:color w:val="auto"/>
        </w:rPr>
        <w:t>. Purchase price was allocated to the respective identifiable assets acquired and liabilities assumed based on the estimated fair values at the</w:t>
      </w:r>
      <w:r>
        <w:rPr>
          <w:rFonts w:ascii="Arial" w:cs="Arial" w:eastAsia="Arial" w:hAnsi="Arial"/>
          <w:sz w:val="16"/>
          <w:szCs w:val="16"/>
          <w:i w:val="1"/>
          <w:iCs w:val="1"/>
          <w:color w:val="auto"/>
        </w:rPr>
        <w:t xml:space="preserve"> </w:t>
      </w:r>
      <w:r>
        <w:rPr>
          <w:rFonts w:ascii="Arial" w:cs="Arial" w:eastAsia="Arial" w:hAnsi="Arial"/>
          <w:sz w:val="16"/>
          <w:szCs w:val="16"/>
          <w:color w:val="auto"/>
        </w:rPr>
        <w:t>date of acquisitions. The results of operations for the following acquired and divested businesses are included in the consolidated results of the Company from the respective dates of acquisition and through the respective dates of disposition. Pro forma information for these acquired businesses is not provided because they did not have a material effect, individually or in the aggregate, on the Company’s consolidated results of operations.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 of Merchant One</w:t>
      </w:r>
    </w:p>
    <w:p>
      <w:pPr>
        <w:spacing w:after="0" w:line="171" w:lineRule="exact"/>
        <w:rPr>
          <w:sz w:val="20"/>
          <w:szCs w:val="20"/>
          <w:color w:val="auto"/>
        </w:rPr>
      </w:pPr>
    </w:p>
    <w:p>
      <w:pPr>
        <w:jc w:val="both"/>
        <w:ind w:right="140"/>
        <w:spacing w:after="0" w:line="311" w:lineRule="auto"/>
        <w:rPr>
          <w:sz w:val="20"/>
          <w:szCs w:val="20"/>
          <w:color w:val="auto"/>
        </w:rPr>
      </w:pPr>
      <w:r>
        <w:rPr>
          <w:rFonts w:ascii="Arial" w:cs="Arial" w:eastAsia="Arial" w:hAnsi="Arial"/>
          <w:sz w:val="16"/>
          <w:szCs w:val="16"/>
          <w:color w:val="auto"/>
        </w:rPr>
        <w:t>On December 20, 2022, the Company acquired Merchant One, Inc. (“Merchant One”), an independent sales organization focused on acquiring merchants in the restaurant, retail and e-commerce industries using an innovative mix of direct and digital marketing strategies, for $302 million, net of $1 million of acquired cash. Merchant One is included within the Acceptance segment and enhances the Company’s merchant distribution and sales force channels.</w:t>
      </w:r>
    </w:p>
    <w:p>
      <w:pPr>
        <w:spacing w:after="0" w:line="95" w:lineRule="exact"/>
        <w:rPr>
          <w:sz w:val="20"/>
          <w:szCs w:val="20"/>
          <w:color w:val="auto"/>
        </w:rPr>
      </w:pPr>
    </w:p>
    <w:p>
      <w:pPr>
        <w:ind w:right="80"/>
        <w:spacing w:after="0" w:line="261" w:lineRule="auto"/>
        <w:rPr>
          <w:sz w:val="20"/>
          <w:szCs w:val="20"/>
          <w:color w:val="auto"/>
        </w:rPr>
      </w:pPr>
      <w:r>
        <w:rPr>
          <w:rFonts w:ascii="Arial" w:cs="Arial" w:eastAsia="Arial" w:hAnsi="Arial"/>
          <w:sz w:val="17"/>
          <w:szCs w:val="17"/>
          <w:color w:val="auto"/>
        </w:rPr>
        <w:t>During the six months ended June 30, 2023, the Company identified and recorded measurement period adjustments to the preliminary Merchant One purchase price allocation, including refinements to valuations of acquired intangible assets, which were the result of additional analysis performed and information identified based on facts and circumstances that existed as of the acquisition date. These measurement period adjustments resulted in an increase to goodwill of $61 million and a corresponding decrease in identifiable intangible assets, including customer relationships. Such measurement period adjustments did not have a material impact on the Company’s consolidated statement of income. The allocation of the purchase price was finalized in the second quarter of 2023 and resulted in the recognition of identifiable intangible assets of $118 million, goodwill of $179 million and other net assets of $6 million. Goodwill, which is deductible for tax purposes, is primarily attributed to the anticipated value created by expanding the reach of the Clover</w:t>
      </w:r>
      <w:r>
        <w:rPr>
          <w:rFonts w:ascii="Arial" w:cs="Arial" w:eastAsia="Arial" w:hAnsi="Arial"/>
          <w:sz w:val="22"/>
          <w:szCs w:val="22"/>
          <w:color w:val="auto"/>
          <w:vertAlign w:val="superscript"/>
        </w:rPr>
        <w:t>®</w:t>
      </w:r>
      <w:r>
        <w:rPr>
          <w:rFonts w:ascii="Arial" w:cs="Arial" w:eastAsia="Arial" w:hAnsi="Arial"/>
          <w:sz w:val="17"/>
          <w:szCs w:val="17"/>
          <w:color w:val="auto"/>
        </w:rPr>
        <w:t xml:space="preserve"> cloud-based POS and business management platform, and select value-added services that enable the Company to deliver new and innovative capabilities to Merchant One’s clients.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07"/>
        </w:trPr>
        <w:tc>
          <w:tcPr>
            <w:tcW w:w="6660" w:type="dxa"/>
            <w:vAlign w:val="bottom"/>
            <w:gridSpan w:val="4"/>
          </w:tcPr>
          <w:p>
            <w:pPr>
              <w:spacing w:after="0"/>
              <w:rPr>
                <w:sz w:val="20"/>
                <w:szCs w:val="20"/>
                <w:color w:val="auto"/>
              </w:rPr>
            </w:pPr>
            <w:r>
              <w:rPr>
                <w:rFonts w:ascii="Arial" w:cs="Arial" w:eastAsia="Arial" w:hAnsi="Arial"/>
                <w:sz w:val="18"/>
                <w:szCs w:val="18"/>
                <w:color w:val="0000FF"/>
              </w:rPr>
              <w:t>Table of Contents</w:t>
            </w:r>
          </w:p>
        </w:tc>
        <w:tc>
          <w:tcPr>
            <w:tcW w:w="16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40" w:type="dxa"/>
            <w:vAlign w:val="bottom"/>
          </w:tcPr>
          <w:p>
            <w:pPr>
              <w:spacing w:after="0"/>
              <w:rPr>
                <w:sz w:val="17"/>
                <w:szCs w:val="17"/>
                <w:color w:val="auto"/>
              </w:rPr>
            </w:pPr>
          </w:p>
        </w:tc>
      </w:tr>
      <w:tr>
        <w:trPr>
          <w:trHeight w:val="20"/>
        </w:trPr>
        <w:tc>
          <w:tcPr>
            <w:tcW w:w="2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r>
        <w:trPr>
          <w:trHeight w:val="952"/>
        </w:trPr>
        <w:tc>
          <w:tcPr>
            <w:tcW w:w="6660" w:type="dxa"/>
            <w:vAlign w:val="bottom"/>
            <w:gridSpan w:val="4"/>
          </w:tcPr>
          <w:p>
            <w:pPr>
              <w:spacing w:after="0"/>
              <w:rPr>
                <w:sz w:val="20"/>
                <w:szCs w:val="20"/>
                <w:color w:val="auto"/>
              </w:rPr>
            </w:pPr>
            <w:r>
              <w:rPr>
                <w:rFonts w:ascii="Arial" w:cs="Arial" w:eastAsia="Arial" w:hAnsi="Arial"/>
                <w:sz w:val="18"/>
                <w:szCs w:val="18"/>
                <w:color w:val="auto"/>
              </w:rPr>
              <w:t>The amounts allocated to identifiable intangible assets are as follows:</w:t>
            </w:r>
          </w:p>
        </w:tc>
        <w:tc>
          <w:tcPr>
            <w:tcW w:w="16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203"/>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4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89"/>
              </w:rPr>
              <w:t>Weighted-Average Useful</w:t>
            </w:r>
          </w:p>
        </w:tc>
      </w:tr>
      <w:tr>
        <w:trPr>
          <w:trHeight w:val="203"/>
        </w:trPr>
        <w:tc>
          <w:tcPr>
            <w:tcW w:w="20" w:type="dxa"/>
            <w:vAlign w:val="bottom"/>
          </w:tcPr>
          <w:p>
            <w:pPr>
              <w:spacing w:after="0"/>
              <w:rPr>
                <w:sz w:val="17"/>
                <w:szCs w:val="17"/>
                <w:color w:val="auto"/>
              </w:rPr>
            </w:pPr>
          </w:p>
        </w:tc>
        <w:tc>
          <w:tcPr>
            <w:tcW w:w="6640" w:type="dxa"/>
            <w:vAlign w:val="bottom"/>
            <w:gridSpan w:val="3"/>
          </w:tcPr>
          <w:p>
            <w:pPr>
              <w:spacing w:after="0"/>
              <w:rPr>
                <w:sz w:val="20"/>
                <w:szCs w:val="20"/>
                <w:color w:val="auto"/>
              </w:rPr>
            </w:pPr>
            <w:r>
              <w:rPr>
                <w:rFonts w:ascii="Arial" w:cs="Arial" w:eastAsia="Arial" w:hAnsi="Arial"/>
                <w:sz w:val="16"/>
                <w:szCs w:val="16"/>
                <w:b w:val="1"/>
                <w:bCs w:val="1"/>
                <w:color w:val="auto"/>
              </w:rPr>
              <w:t>(In millions)</w:t>
            </w:r>
          </w:p>
        </w:tc>
        <w:tc>
          <w:tcPr>
            <w:tcW w:w="160" w:type="dxa"/>
            <w:vAlign w:val="bottom"/>
          </w:tcPr>
          <w:p>
            <w:pPr>
              <w:spacing w:after="0"/>
              <w:rPr>
                <w:sz w:val="17"/>
                <w:szCs w:val="17"/>
                <w:color w:val="auto"/>
              </w:rPr>
            </w:pPr>
          </w:p>
        </w:tc>
        <w:tc>
          <w:tcPr>
            <w:tcW w:w="2080" w:type="dxa"/>
            <w:vAlign w:val="bottom"/>
          </w:tcPr>
          <w:p>
            <w:pPr>
              <w:jc w:val="right"/>
              <w:ind w:right="90"/>
              <w:spacing w:after="0" w:line="202" w:lineRule="exact"/>
              <w:rPr>
                <w:sz w:val="20"/>
                <w:szCs w:val="20"/>
                <w:color w:val="auto"/>
              </w:rPr>
            </w:pPr>
            <w:r>
              <w:rPr>
                <w:rFonts w:ascii="Arial" w:cs="Arial" w:eastAsia="Arial" w:hAnsi="Arial"/>
                <w:sz w:val="18"/>
                <w:szCs w:val="18"/>
                <w:b w:val="1"/>
                <w:bCs w:val="1"/>
                <w:color w:val="auto"/>
                <w:w w:val="92"/>
              </w:rPr>
              <w:t>Gross Carrying Amount</w:t>
            </w:r>
          </w:p>
        </w:tc>
        <w:tc>
          <w:tcPr>
            <w:tcW w:w="100" w:type="dxa"/>
            <w:vAlign w:val="bottom"/>
          </w:tcPr>
          <w:p>
            <w:pPr>
              <w:spacing w:after="0"/>
              <w:rPr>
                <w:sz w:val="17"/>
                <w:szCs w:val="17"/>
                <w:color w:val="auto"/>
              </w:rPr>
            </w:pPr>
          </w:p>
        </w:tc>
        <w:tc>
          <w:tcPr>
            <w:tcW w:w="224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Life</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53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Residual buyouts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00" w:type="dxa"/>
            <w:vAlign w:val="bottom"/>
            <w:shd w:val="clear" w:color="auto" w:fill="CCEEFF"/>
          </w:tcPr>
          <w:p>
            <w:pPr>
              <w:spacing w:after="0"/>
              <w:rPr>
                <w:sz w:val="19"/>
                <w:szCs w:val="19"/>
                <w:color w:val="auto"/>
              </w:rPr>
            </w:pPr>
          </w:p>
        </w:tc>
        <w:tc>
          <w:tcPr>
            <w:tcW w:w="2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9 years</w:t>
            </w:r>
          </w:p>
        </w:tc>
      </w:tr>
      <w:tr>
        <w:trPr>
          <w:trHeight w:val="230"/>
        </w:trPr>
        <w:tc>
          <w:tcPr>
            <w:tcW w:w="20" w:type="dxa"/>
            <w:vAlign w:val="bottom"/>
          </w:tcPr>
          <w:p>
            <w:pPr>
              <w:spacing w:after="0"/>
              <w:rPr>
                <w:sz w:val="19"/>
                <w:szCs w:val="19"/>
                <w:color w:val="auto"/>
              </w:rPr>
            </w:pPr>
          </w:p>
        </w:tc>
        <w:tc>
          <w:tcPr>
            <w:tcW w:w="6640" w:type="dxa"/>
            <w:vAlign w:val="bottom"/>
            <w:gridSpan w:val="3"/>
          </w:tcPr>
          <w:p>
            <w:pPr>
              <w:spacing w:after="0"/>
              <w:rPr>
                <w:sz w:val="20"/>
                <w:szCs w:val="20"/>
                <w:color w:val="auto"/>
              </w:rPr>
            </w:pPr>
            <w:r>
              <w:rPr>
                <w:rFonts w:ascii="Arial" w:cs="Arial" w:eastAsia="Arial" w:hAnsi="Arial"/>
                <w:sz w:val="18"/>
                <w:szCs w:val="18"/>
                <w:color w:val="auto"/>
              </w:rPr>
              <w:t>Customer relationships</w:t>
            </w:r>
          </w:p>
        </w:tc>
        <w:tc>
          <w:tcPr>
            <w:tcW w:w="16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9"/>
                <w:szCs w:val="19"/>
                <w:color w:val="auto"/>
              </w:rPr>
            </w:pPr>
          </w:p>
        </w:tc>
        <w:tc>
          <w:tcPr>
            <w:tcW w:w="2240" w:type="dxa"/>
            <w:vAlign w:val="bottom"/>
          </w:tcPr>
          <w:p>
            <w:pPr>
              <w:jc w:val="center"/>
              <w:spacing w:after="0"/>
              <w:rPr>
                <w:sz w:val="20"/>
                <w:szCs w:val="20"/>
                <w:color w:val="auto"/>
              </w:rPr>
            </w:pPr>
            <w:r>
              <w:rPr>
                <w:rFonts w:ascii="Arial" w:cs="Arial" w:eastAsia="Arial" w:hAnsi="Arial"/>
                <w:sz w:val="18"/>
                <w:szCs w:val="18"/>
                <w:color w:val="auto"/>
                <w:w w:val="86"/>
              </w:rPr>
              <w:t>10 years</w:t>
            </w:r>
          </w:p>
        </w:tc>
      </w:tr>
      <w:tr>
        <w:trPr>
          <w:trHeight w:val="262"/>
        </w:trPr>
        <w:tc>
          <w:tcPr>
            <w:tcW w:w="20" w:type="dxa"/>
            <w:vAlign w:val="bottom"/>
            <w:tcBorders>
              <w:bottom w:val="single" w:sz="8" w:color="CCEEFF"/>
            </w:tcBorders>
            <w:shd w:val="clear" w:color="auto" w:fill="CCEEFF"/>
          </w:tcPr>
          <w:p>
            <w:pPr>
              <w:spacing w:after="0"/>
              <w:rPr>
                <w:sz w:val="22"/>
                <w:szCs w:val="22"/>
                <w:color w:val="auto"/>
              </w:rPr>
            </w:pPr>
          </w:p>
        </w:tc>
        <w:tc>
          <w:tcPr>
            <w:tcW w:w="6640" w:type="dxa"/>
            <w:vAlign w:val="bottom"/>
            <w:tcBorders>
              <w:bottom w:val="single" w:sz="8" w:color="CCEEFF"/>
            </w:tcBorders>
            <w:gridSpan w:val="3"/>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00" w:type="dxa"/>
            <w:vAlign w:val="bottom"/>
            <w:tcBorders>
              <w:bottom w:val="single" w:sz="8" w:color="CCEEFF"/>
            </w:tcBorders>
            <w:shd w:val="clear" w:color="auto" w:fill="CCEEFF"/>
          </w:tcPr>
          <w:p>
            <w:pPr>
              <w:spacing w:after="0"/>
              <w:rPr>
                <w:sz w:val="22"/>
                <w:szCs w:val="22"/>
                <w:color w:val="auto"/>
              </w:rPr>
            </w:pPr>
          </w:p>
        </w:tc>
        <w:tc>
          <w:tcPr>
            <w:tcW w:w="2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9 years</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53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2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 of Finxact</w:t>
      </w:r>
    </w:p>
    <w:p>
      <w:pPr>
        <w:spacing w:after="0" w:line="252" w:lineRule="exact"/>
        <w:rPr>
          <w:sz w:val="20"/>
          <w:szCs w:val="20"/>
          <w:color w:val="auto"/>
        </w:rPr>
      </w:pPr>
    </w:p>
    <w:p>
      <w:pPr>
        <w:ind w:right="180"/>
        <w:spacing w:after="0" w:line="293" w:lineRule="auto"/>
        <w:rPr>
          <w:sz w:val="20"/>
          <w:szCs w:val="20"/>
          <w:color w:val="auto"/>
        </w:rPr>
      </w:pPr>
      <w:r>
        <w:rPr>
          <w:rFonts w:ascii="Arial" w:cs="Arial" w:eastAsia="Arial" w:hAnsi="Arial"/>
          <w:sz w:val="16"/>
          <w:szCs w:val="16"/>
          <w:color w:val="auto"/>
        </w:rPr>
        <w:t>On April 1, 2022, the Company acquired a remaining ownership interest in Finxact, Inc. (“Finxact”), a developer of cloud-native banking solutions powering digital transformation throughout the financial services sector, for $645 million, net of $27 million of acquired cash. The Company previously held a noncontrolling equity interest in Finxact, which was accounted for under the equity method. The remeasurement of the Company’s previously held equity interest to its acquisition-date fair value resulted in the recognition of a pre-tax gain of $110 million, included within income from investments in unconsolidated affiliates in the consolidated statement of income during the three months ended June 30, 2022. Finxact is included within the Fintech segment and advances the Company’s digital banking strategy, expanding its account processing, digital, and payments solutions.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The allocation of purchase price recorded for Finxact was finalized in the fourth quarter of 2022 as follows: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8980" w:type="dxa"/>
            <w:vAlign w:val="bottom"/>
            <w:gridSpan w:val="2"/>
          </w:tcPr>
          <w:p>
            <w:pPr>
              <w:spacing w:after="0"/>
              <w:rPr>
                <w:sz w:val="20"/>
                <w:szCs w:val="20"/>
                <w:color w:val="auto"/>
              </w:rPr>
            </w:pPr>
            <w:r>
              <w:rPr>
                <w:rFonts w:ascii="Arial" w:cs="Arial" w:eastAsia="Arial" w:hAnsi="Arial"/>
                <w:sz w:val="16"/>
                <w:szCs w:val="16"/>
                <w:b w:val="1"/>
                <w:bCs w:val="1"/>
                <w:color w:val="auto"/>
              </w:rPr>
              <w:t>(In millions)</w:t>
            </w:r>
          </w:p>
        </w:tc>
        <w:tc>
          <w:tcPr>
            <w:tcW w:w="96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Borders>
              <w:top w:val="single" w:sz="8" w:color="auto"/>
            </w:tcBorders>
          </w:tcPr>
          <w:p>
            <w:pPr>
              <w:spacing w:after="0" w:line="20" w:lineRule="exact"/>
              <w:rPr>
                <w:sz w:val="1"/>
                <w:szCs w:val="1"/>
                <w:color w:val="auto"/>
              </w:rPr>
            </w:pPr>
          </w:p>
        </w:tc>
        <w:tc>
          <w:tcPr>
            <w:tcW w:w="8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8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w:t>
            </w:r>
          </w:p>
        </w:tc>
        <w:tc>
          <w:tcPr>
            <w:tcW w:w="96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29"/>
        </w:trPr>
        <w:tc>
          <w:tcPr>
            <w:tcW w:w="20" w:type="dxa"/>
            <w:vAlign w:val="bottom"/>
          </w:tcPr>
          <w:p>
            <w:pPr>
              <w:spacing w:after="0"/>
              <w:rPr>
                <w:sz w:val="19"/>
                <w:szCs w:val="19"/>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Other net assets</w:t>
            </w:r>
          </w:p>
        </w:tc>
        <w:tc>
          <w:tcPr>
            <w:tcW w:w="9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20" w:type="dxa"/>
            <w:vAlign w:val="bottom"/>
            <w:shd w:val="clear" w:color="auto" w:fill="CCEEFF"/>
          </w:tcPr>
          <w:p>
            <w:pPr>
              <w:spacing w:after="0"/>
              <w:rPr>
                <w:sz w:val="19"/>
                <w:szCs w:val="19"/>
                <w:color w:val="auto"/>
              </w:rPr>
            </w:pPr>
          </w:p>
        </w:tc>
        <w:tc>
          <w:tcPr>
            <w:tcW w:w="8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9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r>
      <w:tr>
        <w:trPr>
          <w:trHeight w:val="243"/>
        </w:trPr>
        <w:tc>
          <w:tcPr>
            <w:tcW w:w="20" w:type="dxa"/>
            <w:vAlign w:val="bottom"/>
            <w:tcBorders>
              <w:bottom w:val="single" w:sz="8" w:color="CCEEFF"/>
            </w:tcBorders>
          </w:tcPr>
          <w:p>
            <w:pPr>
              <w:spacing w:after="0"/>
              <w:rPr>
                <w:sz w:val="21"/>
                <w:szCs w:val="21"/>
                <w:color w:val="auto"/>
              </w:rPr>
            </w:pPr>
          </w:p>
        </w:tc>
        <w:tc>
          <w:tcPr>
            <w:tcW w:w="89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Goodwill</w:t>
            </w:r>
          </w:p>
        </w:tc>
        <w:tc>
          <w:tcPr>
            <w:tcW w:w="9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670</w:t>
            </w:r>
          </w:p>
        </w:tc>
      </w:tr>
      <w:tr>
        <w:trPr>
          <w:trHeight w:val="223"/>
        </w:trPr>
        <w:tc>
          <w:tcPr>
            <w:tcW w:w="20" w:type="dxa"/>
            <w:vAlign w:val="bottom"/>
            <w:shd w:val="clear" w:color="auto" w:fill="CCEEFF"/>
          </w:tcPr>
          <w:p>
            <w:pPr>
              <w:spacing w:after="0"/>
              <w:rPr>
                <w:sz w:val="19"/>
                <w:szCs w:val="19"/>
                <w:color w:val="auto"/>
              </w:rPr>
            </w:pPr>
          </w:p>
        </w:tc>
        <w:tc>
          <w:tcPr>
            <w:tcW w:w="8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consideration</w:t>
            </w:r>
          </w:p>
        </w:tc>
        <w:tc>
          <w:tcPr>
            <w:tcW w:w="96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w:t>
            </w:r>
          </w:p>
        </w:tc>
      </w:tr>
      <w:tr>
        <w:trPr>
          <w:trHeight w:val="230"/>
        </w:trPr>
        <w:tc>
          <w:tcPr>
            <w:tcW w:w="20" w:type="dxa"/>
            <w:vAlign w:val="bottom"/>
          </w:tcPr>
          <w:p>
            <w:pPr>
              <w:spacing w:after="0"/>
              <w:rPr>
                <w:sz w:val="19"/>
                <w:szCs w:val="19"/>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Less: Fair value of previously held equity interest</w:t>
            </w:r>
          </w:p>
        </w:tc>
        <w:tc>
          <w:tcPr>
            <w:tcW w:w="9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w:t>
            </w:r>
          </w:p>
        </w:tc>
      </w:tr>
      <w:tr>
        <w:trPr>
          <w:trHeight w:val="261"/>
        </w:trPr>
        <w:tc>
          <w:tcPr>
            <w:tcW w:w="20" w:type="dxa"/>
            <w:vAlign w:val="bottom"/>
            <w:tcBorders>
              <w:bottom w:val="single" w:sz="8" w:color="CCEEFF"/>
            </w:tcBorders>
            <w:shd w:val="clear" w:color="auto" w:fill="CCEEFF"/>
          </w:tcPr>
          <w:p>
            <w:pPr>
              <w:spacing w:after="0"/>
              <w:rPr>
                <w:sz w:val="22"/>
                <w:szCs w:val="22"/>
                <w:color w:val="auto"/>
              </w:rPr>
            </w:pPr>
          </w:p>
        </w:tc>
        <w:tc>
          <w:tcPr>
            <w:tcW w:w="898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Total purchase price</w:t>
            </w:r>
          </w:p>
        </w:tc>
        <w:tc>
          <w:tcPr>
            <w:tcW w:w="960" w:type="dxa"/>
            <w:vAlign w:val="bottom"/>
            <w:tcBorders>
              <w:bottom w:val="single" w:sz="8" w:color="auto"/>
            </w:tcBorders>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672</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8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640"/>
        <w:spacing w:after="0" w:line="263" w:lineRule="auto"/>
        <w:rPr>
          <w:sz w:val="20"/>
          <w:szCs w:val="20"/>
          <w:color w:val="auto"/>
        </w:rPr>
      </w:pPr>
      <w:r>
        <w:rPr>
          <w:rFonts w:ascii="Arial" w:cs="Arial" w:eastAsia="Arial" w:hAnsi="Arial"/>
          <w:sz w:val="18"/>
          <w:szCs w:val="18"/>
          <w:color w:val="auto"/>
        </w:rPr>
        <w:t>Goodwill, which is not deductible for tax purposes, is primarily attributed to the anticipated value created by the combined scale, core platform modernization, and accelerated delivery of enhanced digital banking solutions offered to financial institutions of all sizes. The amounts allocated to identifiable intangible assets were as follows:</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tcPr>
          <w:p>
            <w:pPr>
              <w:jc w:val="center"/>
              <w:spacing w:after="0"/>
              <w:rPr>
                <w:sz w:val="20"/>
                <w:szCs w:val="20"/>
                <w:color w:val="auto"/>
              </w:rPr>
            </w:pPr>
            <w:r>
              <w:rPr>
                <w:rFonts w:ascii="Arial" w:cs="Arial" w:eastAsia="Arial" w:hAnsi="Arial"/>
                <w:sz w:val="18"/>
                <w:szCs w:val="18"/>
                <w:b w:val="1"/>
                <w:bCs w:val="1"/>
                <w:color w:val="auto"/>
                <w:w w:val="89"/>
              </w:rPr>
              <w:t>Weighted-Average Useful</w:t>
            </w:r>
          </w:p>
        </w:tc>
      </w:tr>
      <w:tr>
        <w:trPr>
          <w:trHeight w:val="194"/>
        </w:trPr>
        <w:tc>
          <w:tcPr>
            <w:tcW w:w="20" w:type="dxa"/>
            <w:vAlign w:val="bottom"/>
          </w:tcPr>
          <w:p>
            <w:pPr>
              <w:spacing w:after="0"/>
              <w:rPr>
                <w:sz w:val="16"/>
                <w:szCs w:val="16"/>
                <w:color w:val="auto"/>
              </w:rPr>
            </w:pPr>
          </w:p>
        </w:tc>
        <w:tc>
          <w:tcPr>
            <w:tcW w:w="6640" w:type="dxa"/>
            <w:vAlign w:val="bottom"/>
            <w:gridSpan w:val="2"/>
          </w:tcPr>
          <w:p>
            <w:pPr>
              <w:spacing w:after="0"/>
              <w:rPr>
                <w:sz w:val="20"/>
                <w:szCs w:val="20"/>
                <w:color w:val="auto"/>
              </w:rPr>
            </w:pPr>
            <w:r>
              <w:rPr>
                <w:rFonts w:ascii="Arial" w:cs="Arial" w:eastAsia="Arial" w:hAnsi="Arial"/>
                <w:sz w:val="16"/>
                <w:szCs w:val="16"/>
                <w:b w:val="1"/>
                <w:bCs w:val="1"/>
                <w:color w:val="auto"/>
              </w:rPr>
              <w:t>(In millions)</w:t>
            </w:r>
          </w:p>
        </w:tc>
        <w:tc>
          <w:tcPr>
            <w:tcW w:w="160" w:type="dxa"/>
            <w:vAlign w:val="bottom"/>
          </w:tcPr>
          <w:p>
            <w:pPr>
              <w:spacing w:after="0"/>
              <w:rPr>
                <w:sz w:val="16"/>
                <w:szCs w:val="16"/>
                <w:color w:val="auto"/>
              </w:rPr>
            </w:pPr>
          </w:p>
        </w:tc>
        <w:tc>
          <w:tcPr>
            <w:tcW w:w="2080" w:type="dxa"/>
            <w:vAlign w:val="bottom"/>
          </w:tcPr>
          <w:p>
            <w:pPr>
              <w:jc w:val="right"/>
              <w:ind w:right="90"/>
              <w:spacing w:after="0" w:line="194" w:lineRule="exact"/>
              <w:rPr>
                <w:sz w:val="20"/>
                <w:szCs w:val="20"/>
                <w:color w:val="auto"/>
              </w:rPr>
            </w:pPr>
            <w:r>
              <w:rPr>
                <w:rFonts w:ascii="Arial" w:cs="Arial" w:eastAsia="Arial" w:hAnsi="Arial"/>
                <w:sz w:val="18"/>
                <w:szCs w:val="18"/>
                <w:b w:val="1"/>
                <w:bCs w:val="1"/>
                <w:color w:val="auto"/>
                <w:w w:val="92"/>
              </w:rPr>
              <w:t>Gross Carrying Amount</w:t>
            </w:r>
          </w:p>
        </w:tc>
        <w:tc>
          <w:tcPr>
            <w:tcW w:w="100" w:type="dxa"/>
            <w:vAlign w:val="bottom"/>
          </w:tcPr>
          <w:p>
            <w:pPr>
              <w:spacing w:after="0"/>
              <w:rPr>
                <w:sz w:val="16"/>
                <w:szCs w:val="16"/>
                <w:color w:val="auto"/>
              </w:rPr>
            </w:pPr>
          </w:p>
        </w:tc>
        <w:tc>
          <w:tcPr>
            <w:tcW w:w="2240" w:type="dxa"/>
            <w:vAlign w:val="bottom"/>
          </w:tcPr>
          <w:p>
            <w:pPr>
              <w:jc w:val="center"/>
              <w:spacing w:after="0" w:line="194" w:lineRule="exact"/>
              <w:rPr>
                <w:sz w:val="20"/>
                <w:szCs w:val="20"/>
                <w:color w:val="auto"/>
              </w:rPr>
            </w:pPr>
            <w:r>
              <w:rPr>
                <w:rFonts w:ascii="Arial" w:cs="Arial" w:eastAsia="Arial" w:hAnsi="Arial"/>
                <w:sz w:val="18"/>
                <w:szCs w:val="18"/>
                <w:b w:val="1"/>
                <w:bCs w:val="1"/>
                <w:color w:val="auto"/>
                <w:w w:val="99"/>
              </w:rPr>
              <w:t>Life</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57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Acquired software and technology</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00" w:type="dxa"/>
            <w:vAlign w:val="bottom"/>
            <w:shd w:val="clear" w:color="auto" w:fill="CCEEFF"/>
          </w:tcPr>
          <w:p>
            <w:pPr>
              <w:spacing w:after="0"/>
              <w:rPr>
                <w:sz w:val="19"/>
                <w:szCs w:val="19"/>
                <w:color w:val="auto"/>
              </w:rPr>
            </w:pPr>
          </w:p>
        </w:tc>
        <w:tc>
          <w:tcPr>
            <w:tcW w:w="2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6 years</w:t>
            </w:r>
          </w:p>
        </w:tc>
      </w:tr>
      <w:tr>
        <w:trPr>
          <w:trHeight w:val="237"/>
        </w:trPr>
        <w:tc>
          <w:tcPr>
            <w:tcW w:w="20" w:type="dxa"/>
            <w:vAlign w:val="bottom"/>
          </w:tcPr>
          <w:p>
            <w:pPr>
              <w:spacing w:after="0"/>
              <w:rPr>
                <w:sz w:val="20"/>
                <w:szCs w:val="20"/>
                <w:color w:val="auto"/>
              </w:rPr>
            </w:pPr>
          </w:p>
        </w:tc>
        <w:tc>
          <w:tcPr>
            <w:tcW w:w="6640" w:type="dxa"/>
            <w:vAlign w:val="bottom"/>
            <w:gridSpan w:val="2"/>
          </w:tcPr>
          <w:p>
            <w:pPr>
              <w:spacing w:after="0"/>
              <w:rPr>
                <w:sz w:val="20"/>
                <w:szCs w:val="20"/>
                <w:color w:val="auto"/>
              </w:rPr>
            </w:pPr>
            <w:r>
              <w:rPr>
                <w:rFonts w:ascii="Arial" w:cs="Arial" w:eastAsia="Arial" w:hAnsi="Arial"/>
                <w:sz w:val="18"/>
                <w:szCs w:val="18"/>
                <w:color w:val="auto"/>
              </w:rPr>
              <w:t>Trade name</w:t>
            </w:r>
          </w:p>
        </w:tc>
        <w:tc>
          <w:tcPr>
            <w:tcW w:w="160" w:type="dxa"/>
            <w:vAlign w:val="bottom"/>
          </w:tcPr>
          <w:p>
            <w:pPr>
              <w:spacing w:after="0"/>
              <w:rPr>
                <w:sz w:val="20"/>
                <w:szCs w:val="20"/>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0"/>
                <w:szCs w:val="20"/>
                <w:color w:val="auto"/>
              </w:rPr>
            </w:pPr>
          </w:p>
        </w:tc>
        <w:tc>
          <w:tcPr>
            <w:tcW w:w="2240" w:type="dxa"/>
            <w:vAlign w:val="bottom"/>
          </w:tcPr>
          <w:p>
            <w:pPr>
              <w:jc w:val="center"/>
              <w:spacing w:after="0"/>
              <w:rPr>
                <w:sz w:val="20"/>
                <w:szCs w:val="20"/>
                <w:color w:val="auto"/>
              </w:rPr>
            </w:pPr>
            <w:r>
              <w:rPr>
                <w:rFonts w:ascii="Arial" w:cs="Arial" w:eastAsia="Arial" w:hAnsi="Arial"/>
                <w:sz w:val="18"/>
                <w:szCs w:val="18"/>
                <w:color w:val="auto"/>
                <w:w w:val="88"/>
              </w:rPr>
              <w:t>5 years</w:t>
            </w:r>
          </w:p>
        </w:tc>
      </w:tr>
      <w:tr>
        <w:trPr>
          <w:trHeight w:val="236"/>
        </w:trPr>
        <w:tc>
          <w:tcPr>
            <w:tcW w:w="20" w:type="dxa"/>
            <w:vAlign w:val="bottom"/>
            <w:shd w:val="clear" w:color="auto" w:fill="CCEEFF"/>
          </w:tcPr>
          <w:p>
            <w:pPr>
              <w:spacing w:after="0"/>
              <w:rPr>
                <w:sz w:val="20"/>
                <w:szCs w:val="20"/>
                <w:color w:val="auto"/>
              </w:rPr>
            </w:pPr>
          </w:p>
        </w:tc>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160" w:type="dxa"/>
            <w:vAlign w:val="bottom"/>
            <w:tcBorders>
              <w:bottom w:val="single" w:sz="8" w:color="auto"/>
            </w:tcBorders>
            <w:shd w:val="clear" w:color="auto" w:fill="CCEEFF"/>
          </w:tcPr>
          <w:p>
            <w:pPr>
              <w:spacing w:after="0"/>
              <w:rPr>
                <w:sz w:val="20"/>
                <w:szCs w:val="20"/>
                <w:color w:val="auto"/>
              </w:rPr>
            </w:pPr>
          </w:p>
        </w:tc>
        <w:tc>
          <w:tcPr>
            <w:tcW w:w="2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20"/>
                <w:szCs w:val="20"/>
                <w:color w:val="auto"/>
              </w:rPr>
            </w:pPr>
          </w:p>
        </w:tc>
        <w:tc>
          <w:tcPr>
            <w:tcW w:w="2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8 years</w:t>
            </w:r>
          </w:p>
        </w:tc>
      </w:tr>
      <w:tr>
        <w:trPr>
          <w:trHeight w:val="223"/>
        </w:trPr>
        <w:tc>
          <w:tcPr>
            <w:tcW w:w="20" w:type="dxa"/>
            <w:vAlign w:val="bottom"/>
          </w:tcPr>
          <w:p>
            <w:pPr>
              <w:spacing w:after="0"/>
              <w:rPr>
                <w:sz w:val="19"/>
                <w:szCs w:val="19"/>
                <w:color w:val="auto"/>
              </w:rPr>
            </w:pPr>
          </w:p>
        </w:tc>
        <w:tc>
          <w:tcPr>
            <w:tcW w:w="6640" w:type="dxa"/>
            <w:vAlign w:val="bottom"/>
            <w:gridSpan w:val="2"/>
          </w:tcPr>
          <w:p>
            <w:pPr>
              <w:ind w:left="22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19"/>
                <w:szCs w:val="19"/>
                <w:color w:val="auto"/>
              </w:rPr>
            </w:pPr>
          </w:p>
        </w:tc>
        <w:tc>
          <w:tcPr>
            <w:tcW w:w="2240" w:type="dxa"/>
            <w:vAlign w:val="bottom"/>
          </w:tcPr>
          <w:p>
            <w:pPr>
              <w:jc w:val="center"/>
              <w:spacing w:after="0"/>
              <w:rPr>
                <w:sz w:val="20"/>
                <w:szCs w:val="20"/>
                <w:color w:val="auto"/>
              </w:rPr>
            </w:pPr>
            <w:r>
              <w:rPr>
                <w:rFonts w:ascii="Arial" w:cs="Arial" w:eastAsia="Arial" w:hAnsi="Arial"/>
                <w:sz w:val="18"/>
                <w:szCs w:val="18"/>
                <w:color w:val="auto"/>
                <w:w w:val="88"/>
              </w:rPr>
              <w:t>6 years</w:t>
            </w: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Acquisitions</w:t>
      </w:r>
    </w:p>
    <w:p>
      <w:pPr>
        <w:spacing w:after="0" w:line="171"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On December 29, 2022, the Company acquired OrangeData S.A. (“Yacaré”), an Argentina-based payment service provider that enables customers to transact at merchant locations using QR codes. Yacaré is included within the Acceptance segment and enhances the Company’s instant payment transaction capabilities. On September 1, 2022, the Company acquired NexTable, Inc. (“NexTable”), a provider of cloud-based reservation and table management solutions for restaurants. NexTable is included within the Acceptance segment and expands the Company’s end-to-end restaurant solutions. On June 1, 2022, the Company acquired The LR2 Group, LLC (“City POS”), an independent sales organization that promotes payment processing services and facilitates the sale of POS equipment for merchants. City POS is included within the Acceptance segment and expands the Company’s merchant services business. The Company acquired these businesses for an aggregate purchase price of $44 million, including earn-out provisions estimated at a fair value of $6 million (see Note 7). The allocation of purchase price for these acquisitions resulted in the recognition of identifiable intangible assets of $23 million, goodwill of $22 million and other net assumed liabilities of $1 million. The purchase price allocations for the CityPOS and NexTable acquisitions were finalized in the third and fourth quarters of 2022, respectively. The purchase price allocation for the Yacaré acquisition was finalized in the second quarter of 2023. Measurement period adjustments did not have a material impact on the Company’s consolidated statements of income. Goodwill for these acquisitions, of which $17 million is deductible for tax purposes, is</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7"/>
          <w:szCs w:val="17"/>
          <w:color w:val="auto"/>
        </w:rPr>
        <w:t>primarily attributed to the value created by expanding the reach of the Company’s payment solutions and enhancing omnichannel capabilities.</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The amounts allocated to identifiable intangible assets for other acquisitions acquired in 2022 were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40" w:type="dxa"/>
            <w:vAlign w:val="bottom"/>
          </w:tcPr>
          <w:p>
            <w:pPr>
              <w:jc w:val="center"/>
              <w:spacing w:after="0"/>
              <w:rPr>
                <w:sz w:val="20"/>
                <w:szCs w:val="20"/>
                <w:color w:val="auto"/>
              </w:rPr>
            </w:pPr>
            <w:r>
              <w:rPr>
                <w:rFonts w:ascii="Arial" w:cs="Arial" w:eastAsia="Arial" w:hAnsi="Arial"/>
                <w:sz w:val="18"/>
                <w:szCs w:val="18"/>
                <w:b w:val="1"/>
                <w:bCs w:val="1"/>
                <w:color w:val="auto"/>
                <w:w w:val="89"/>
              </w:rPr>
              <w:t>Weighted-Average Useful</w:t>
            </w:r>
          </w:p>
        </w:tc>
      </w:tr>
      <w:tr>
        <w:trPr>
          <w:trHeight w:val="203"/>
        </w:trPr>
        <w:tc>
          <w:tcPr>
            <w:tcW w:w="20" w:type="dxa"/>
            <w:vAlign w:val="bottom"/>
          </w:tcPr>
          <w:p>
            <w:pPr>
              <w:spacing w:after="0"/>
              <w:rPr>
                <w:sz w:val="17"/>
                <w:szCs w:val="17"/>
                <w:color w:val="auto"/>
              </w:rPr>
            </w:pPr>
          </w:p>
        </w:tc>
        <w:tc>
          <w:tcPr>
            <w:tcW w:w="6640" w:type="dxa"/>
            <w:vAlign w:val="bottom"/>
            <w:gridSpan w:val="2"/>
          </w:tcPr>
          <w:p>
            <w:pPr>
              <w:spacing w:after="0"/>
              <w:rPr>
                <w:sz w:val="20"/>
                <w:szCs w:val="20"/>
                <w:color w:val="auto"/>
              </w:rPr>
            </w:pPr>
            <w:r>
              <w:rPr>
                <w:rFonts w:ascii="Arial" w:cs="Arial" w:eastAsia="Arial" w:hAnsi="Arial"/>
                <w:sz w:val="16"/>
                <w:szCs w:val="16"/>
                <w:b w:val="1"/>
                <w:bCs w:val="1"/>
                <w:color w:val="auto"/>
              </w:rPr>
              <w:t>(In millions)</w:t>
            </w:r>
          </w:p>
        </w:tc>
        <w:tc>
          <w:tcPr>
            <w:tcW w:w="140" w:type="dxa"/>
            <w:vAlign w:val="bottom"/>
          </w:tcPr>
          <w:p>
            <w:pPr>
              <w:spacing w:after="0"/>
              <w:rPr>
                <w:sz w:val="17"/>
                <w:szCs w:val="17"/>
                <w:color w:val="auto"/>
              </w:rPr>
            </w:pPr>
          </w:p>
        </w:tc>
        <w:tc>
          <w:tcPr>
            <w:tcW w:w="2100" w:type="dxa"/>
            <w:vAlign w:val="bottom"/>
          </w:tcPr>
          <w:p>
            <w:pPr>
              <w:jc w:val="right"/>
              <w:ind w:right="90"/>
              <w:spacing w:after="0" w:line="202" w:lineRule="exact"/>
              <w:rPr>
                <w:sz w:val="20"/>
                <w:szCs w:val="20"/>
                <w:color w:val="auto"/>
              </w:rPr>
            </w:pPr>
            <w:r>
              <w:rPr>
                <w:rFonts w:ascii="Arial" w:cs="Arial" w:eastAsia="Arial" w:hAnsi="Arial"/>
                <w:sz w:val="18"/>
                <w:szCs w:val="18"/>
                <w:b w:val="1"/>
                <w:bCs w:val="1"/>
                <w:color w:val="auto"/>
                <w:w w:val="93"/>
              </w:rPr>
              <w:t>Gross Carrying Amount</w:t>
            </w:r>
          </w:p>
        </w:tc>
        <w:tc>
          <w:tcPr>
            <w:tcW w:w="100" w:type="dxa"/>
            <w:vAlign w:val="bottom"/>
          </w:tcPr>
          <w:p>
            <w:pPr>
              <w:spacing w:after="0"/>
              <w:rPr>
                <w:sz w:val="17"/>
                <w:szCs w:val="17"/>
                <w:color w:val="auto"/>
              </w:rPr>
            </w:pPr>
          </w:p>
        </w:tc>
        <w:tc>
          <w:tcPr>
            <w:tcW w:w="224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Life</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57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Acquired software and technology</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2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7 years</w:t>
            </w:r>
          </w:p>
        </w:tc>
      </w:tr>
      <w:tr>
        <w:trPr>
          <w:trHeight w:val="229"/>
        </w:trPr>
        <w:tc>
          <w:tcPr>
            <w:tcW w:w="20" w:type="dxa"/>
            <w:vAlign w:val="bottom"/>
          </w:tcPr>
          <w:p>
            <w:pPr>
              <w:spacing w:after="0"/>
              <w:rPr>
                <w:sz w:val="19"/>
                <w:szCs w:val="19"/>
                <w:color w:val="auto"/>
              </w:rPr>
            </w:pPr>
          </w:p>
        </w:tc>
        <w:tc>
          <w:tcPr>
            <w:tcW w:w="6640" w:type="dxa"/>
            <w:vAlign w:val="bottom"/>
            <w:gridSpan w:val="2"/>
          </w:tcPr>
          <w:p>
            <w:pPr>
              <w:spacing w:after="0"/>
              <w:rPr>
                <w:sz w:val="20"/>
                <w:szCs w:val="20"/>
                <w:color w:val="auto"/>
              </w:rPr>
            </w:pPr>
            <w:r>
              <w:rPr>
                <w:rFonts w:ascii="Arial" w:cs="Arial" w:eastAsia="Arial" w:hAnsi="Arial"/>
                <w:sz w:val="18"/>
                <w:szCs w:val="18"/>
                <w:color w:val="auto"/>
              </w:rPr>
              <w:t>Customer relationships</w:t>
            </w:r>
          </w:p>
        </w:tc>
        <w:tc>
          <w:tcPr>
            <w:tcW w:w="14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2240" w:type="dxa"/>
            <w:vAlign w:val="bottom"/>
          </w:tcPr>
          <w:p>
            <w:pPr>
              <w:jc w:val="center"/>
              <w:spacing w:after="0"/>
              <w:rPr>
                <w:sz w:val="20"/>
                <w:szCs w:val="20"/>
                <w:color w:val="auto"/>
              </w:rPr>
            </w:pPr>
            <w:r>
              <w:rPr>
                <w:rFonts w:ascii="Arial" w:cs="Arial" w:eastAsia="Arial" w:hAnsi="Arial"/>
                <w:sz w:val="18"/>
                <w:szCs w:val="18"/>
                <w:color w:val="auto"/>
                <w:w w:val="86"/>
              </w:rPr>
              <w:t>10 years</w:t>
            </w:r>
          </w:p>
        </w:tc>
      </w:tr>
      <w:tr>
        <w:trPr>
          <w:trHeight w:val="262"/>
        </w:trPr>
        <w:tc>
          <w:tcPr>
            <w:tcW w:w="20" w:type="dxa"/>
            <w:vAlign w:val="bottom"/>
            <w:tcBorders>
              <w:bottom w:val="single" w:sz="8" w:color="CCEEFF"/>
            </w:tcBorders>
            <w:shd w:val="clear" w:color="auto" w:fill="CCEEFF"/>
          </w:tcPr>
          <w:p>
            <w:pPr>
              <w:spacing w:after="0"/>
              <w:rPr>
                <w:sz w:val="22"/>
                <w:szCs w:val="22"/>
                <w:color w:val="auto"/>
              </w:rPr>
            </w:pPr>
          </w:p>
        </w:tc>
        <w:tc>
          <w:tcPr>
            <w:tcW w:w="664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2"/>
                <w:szCs w:val="22"/>
                <w:color w:val="auto"/>
              </w:rPr>
            </w:pPr>
          </w:p>
        </w:tc>
        <w:tc>
          <w:tcPr>
            <w:tcW w:w="2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9 years</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57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2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Dispositions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Disposition of Financial Reconciliation Business</w:t>
      </w:r>
    </w:p>
    <w:p>
      <w:pPr>
        <w:spacing w:after="0" w:line="171"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In June 2023, the Company entered into an agreement to sell its financial reconciliation business. The transaction closed on July 25, 2023, for net cash proceeds of approximately $230 million, subject to customary adjustments. The corresponding assets of approximately $70 million, consisting primarily of trade accounts receivable, capitalized software and allocated goodwill, and liabilities of approximately $15 million, consisting primarily of contract liabilities, were presented as held for sale within prepaid expenses and other current assets and accounts payable and accrued expenses in the Company’s consolidated balance sheet at June 30, 2023. The Company expects to recognize a pre-tax gain on the sale of approximately $160 million. The expected gain is comprised of the difference between the consideration received and the net carrying amount of the business, including accumulated foreign currency translation losses which will be reclassified from accumulated other comprehensive loss. The financial reconciliation business was reported within the Company’s Fintech segment.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Disposition of Fiserv Costa Rica and Systems Integration Services</w:t>
      </w:r>
    </w:p>
    <w:p>
      <w:pPr>
        <w:spacing w:after="0" w:line="252"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On October 17, 2022, the Company sold Fiserv Costa Rica, S.A. and its Systems Integration Services (“SIS”) operations, which provides information technology engineering services in the U.S. and India, to a single buyer, for an aggregate sales price of $49 million. The Company recognized a pre-tax gain of $44 million on the sales, recorded within net gain on sale of businesses and other assets, with a related tax expense of $8 million recorded within the income tax provision, in the consolidated statement of income for the year ended December 31, 2022. The Company recognized a pre-tax loss of $3 million, recorded within net loss (gain) on sale of businesses and other assets in the six months ended June 30, 2023, associated with final working capital adjustments related to the disposition of Fiserv Costa Rica, S.A. Fiserv Costa Rica, S.A. and SIS were reported primarily within the Fintech segment.</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Disposition of Korea Operations</w:t>
      </w:r>
    </w:p>
    <w:p>
      <w:pPr>
        <w:spacing w:after="0" w:line="17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On September 30, 2022, the Company sold its Korea operations, which were reported within the Acceptance segment, for total consideration of $50 million, consisting of $43 million in net cash and an equity interest in the buyer of $7 million. The Company recognized a pre-tax loss of $127 million on the sale, recorded within net gain on sale of businesses and other assets in the consolidated statement of income for the year ended December 31, 2022. The loss was comprised of the difference between the consideration received and the net carrying amount of the business, including $40 million of allocated goodwill, $48 million of customer relationship net intangible assets and $56 million of accumulated foreign currency translation losses, which were reclassified from accumulated other comprehensive loss.</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07"/>
        </w:trPr>
        <w:tc>
          <w:tcPr>
            <w:tcW w:w="6040" w:type="dxa"/>
            <w:vAlign w:val="bottom"/>
            <w:gridSpan w:val="4"/>
          </w:tcPr>
          <w:p>
            <w:pPr>
              <w:spacing w:after="0"/>
              <w:rPr>
                <w:sz w:val="20"/>
                <w:szCs w:val="20"/>
                <w:color w:val="auto"/>
              </w:rPr>
            </w:pPr>
            <w:r>
              <w:rPr>
                <w:rFonts w:ascii="Arial" w:cs="Arial" w:eastAsia="Arial" w:hAnsi="Arial"/>
                <w:sz w:val="18"/>
                <w:szCs w:val="18"/>
                <w:color w:val="0000FF"/>
              </w:rPr>
              <w:t>Table of Contents</w:t>
            </w:r>
          </w:p>
        </w:tc>
        <w:tc>
          <w:tcPr>
            <w:tcW w:w="3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2"/>
        </w:trPr>
        <w:tc>
          <w:tcPr>
            <w:tcW w:w="6040" w:type="dxa"/>
            <w:vAlign w:val="bottom"/>
            <w:gridSpan w:val="4"/>
          </w:tcPr>
          <w:p>
            <w:pPr>
              <w:spacing w:after="0"/>
              <w:rPr>
                <w:sz w:val="20"/>
                <w:szCs w:val="20"/>
                <w:color w:val="auto"/>
              </w:rPr>
            </w:pPr>
            <w:r>
              <w:rPr>
                <w:rFonts w:ascii="Arial" w:cs="Arial" w:eastAsia="Arial" w:hAnsi="Arial"/>
                <w:sz w:val="18"/>
                <w:szCs w:val="18"/>
                <w:b w:val="1"/>
                <w:bCs w:val="1"/>
                <w:color w:val="auto"/>
              </w:rPr>
              <w:t>5. Intangible Assets</w:t>
            </w:r>
          </w:p>
        </w:tc>
        <w:tc>
          <w:tcPr>
            <w:tcW w:w="3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6040" w:type="dxa"/>
            <w:vAlign w:val="bottom"/>
            <w:gridSpan w:val="4"/>
          </w:tcPr>
          <w:p>
            <w:pPr>
              <w:spacing w:after="0"/>
              <w:rPr>
                <w:sz w:val="20"/>
                <w:szCs w:val="20"/>
                <w:color w:val="auto"/>
              </w:rPr>
            </w:pPr>
            <w:r>
              <w:rPr>
                <w:rFonts w:ascii="Arial" w:cs="Arial" w:eastAsia="Arial" w:hAnsi="Arial"/>
                <w:sz w:val="18"/>
                <w:szCs w:val="18"/>
                <w:color w:val="auto"/>
              </w:rPr>
              <w:t>Identifiable intangible assets consisted of the following:</w:t>
            </w:r>
          </w:p>
        </w:tc>
        <w:tc>
          <w:tcPr>
            <w:tcW w:w="3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40" w:type="dxa"/>
            <w:vAlign w:val="bottom"/>
          </w:tcPr>
          <w:p>
            <w:pPr>
              <w:jc w:val="center"/>
              <w:ind w:right="210"/>
              <w:spacing w:after="0"/>
              <w:rPr>
                <w:sz w:val="20"/>
                <w:szCs w:val="20"/>
                <w:color w:val="auto"/>
              </w:rPr>
            </w:pPr>
            <w:r>
              <w:rPr>
                <w:rFonts w:ascii="Arial" w:cs="Arial" w:eastAsia="Arial" w:hAnsi="Arial"/>
                <w:sz w:val="18"/>
                <w:szCs w:val="18"/>
                <w:b w:val="1"/>
                <w:bCs w:val="1"/>
                <w:color w:val="auto"/>
                <w:w w:val="84"/>
              </w:rPr>
              <w:t>Gross</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vMerge w:val="restart"/>
          </w:tcPr>
          <w:p>
            <w:pPr>
              <w:jc w:val="right"/>
              <w:ind w:right="250"/>
              <w:spacing w:after="0"/>
              <w:rPr>
                <w:sz w:val="20"/>
                <w:szCs w:val="20"/>
                <w:color w:val="auto"/>
              </w:rPr>
            </w:pPr>
            <w:r>
              <w:rPr>
                <w:rFonts w:ascii="Arial" w:cs="Arial" w:eastAsia="Arial" w:hAnsi="Arial"/>
                <w:sz w:val="18"/>
                <w:szCs w:val="18"/>
                <w:b w:val="1"/>
                <w:bCs w:val="1"/>
                <w:color w:val="auto"/>
                <w:w w:val="97"/>
              </w:rPr>
              <w:t>Accumulated</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60" w:type="dxa"/>
            <w:vAlign w:val="bottom"/>
            <w:vMerge w:val="restart"/>
          </w:tcPr>
          <w:p>
            <w:pPr>
              <w:jc w:val="right"/>
              <w:ind w:right="390"/>
              <w:spacing w:after="0"/>
              <w:rPr>
                <w:sz w:val="20"/>
                <w:szCs w:val="20"/>
                <w:color w:val="auto"/>
              </w:rPr>
            </w:pPr>
            <w:r>
              <w:rPr>
                <w:rFonts w:ascii="Arial" w:cs="Arial" w:eastAsia="Arial" w:hAnsi="Arial"/>
                <w:sz w:val="18"/>
                <w:szCs w:val="18"/>
                <w:b w:val="1"/>
                <w:bCs w:val="1"/>
                <w:color w:val="auto"/>
              </w:rPr>
              <w:t>Net Book</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7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40" w:type="dxa"/>
            <w:vAlign w:val="bottom"/>
          </w:tcPr>
          <w:p>
            <w:pPr>
              <w:jc w:val="center"/>
              <w:ind w:right="190"/>
              <w:spacing w:after="0" w:line="184" w:lineRule="exact"/>
              <w:rPr>
                <w:sz w:val="20"/>
                <w:szCs w:val="20"/>
                <w:color w:val="auto"/>
              </w:rPr>
            </w:pPr>
            <w:r>
              <w:rPr>
                <w:rFonts w:ascii="Arial" w:cs="Arial" w:eastAsia="Arial" w:hAnsi="Arial"/>
                <w:sz w:val="18"/>
                <w:szCs w:val="18"/>
                <w:b w:val="1"/>
                <w:bCs w:val="1"/>
                <w:color w:val="auto"/>
                <w:w w:val="94"/>
              </w:rPr>
              <w:t>Carrying</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020" w:type="dxa"/>
            <w:vAlign w:val="bottom"/>
            <w:gridSpan w:val="3"/>
          </w:tcPr>
          <w:p>
            <w:pPr>
              <w:spacing w:after="0"/>
              <w:rPr>
                <w:sz w:val="20"/>
                <w:szCs w:val="20"/>
                <w:color w:val="auto"/>
              </w:rPr>
            </w:pPr>
            <w:r>
              <w:rPr>
                <w:rFonts w:ascii="Arial" w:cs="Arial" w:eastAsia="Arial" w:hAnsi="Arial"/>
                <w:sz w:val="16"/>
                <w:szCs w:val="16"/>
                <w:b w:val="1"/>
                <w:bCs w:val="1"/>
                <w:color w:val="auto"/>
              </w:rPr>
              <w:t>(In millions)</w:t>
            </w:r>
          </w:p>
        </w:tc>
        <w:tc>
          <w:tcPr>
            <w:tcW w:w="300" w:type="dxa"/>
            <w:vAlign w:val="bottom"/>
          </w:tcPr>
          <w:p>
            <w:pPr>
              <w:spacing w:after="0"/>
              <w:rPr>
                <w:sz w:val="16"/>
                <w:szCs w:val="16"/>
                <w:color w:val="auto"/>
              </w:rPr>
            </w:pPr>
          </w:p>
        </w:tc>
        <w:tc>
          <w:tcPr>
            <w:tcW w:w="1340" w:type="dxa"/>
            <w:vAlign w:val="bottom"/>
          </w:tcPr>
          <w:p>
            <w:pPr>
              <w:jc w:val="center"/>
              <w:ind w:right="190"/>
              <w:spacing w:after="0" w:line="194" w:lineRule="exact"/>
              <w:rPr>
                <w:sz w:val="20"/>
                <w:szCs w:val="20"/>
                <w:color w:val="auto"/>
              </w:rPr>
            </w:pPr>
            <w:r>
              <w:rPr>
                <w:rFonts w:ascii="Arial" w:cs="Arial" w:eastAsia="Arial" w:hAnsi="Arial"/>
                <w:sz w:val="18"/>
                <w:szCs w:val="18"/>
                <w:b w:val="1"/>
                <w:bCs w:val="1"/>
                <w:color w:val="auto"/>
                <w:w w:val="91"/>
              </w:rPr>
              <w:t>Amount</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tcPr>
          <w:p>
            <w:pPr>
              <w:jc w:val="right"/>
              <w:ind w:right="250"/>
              <w:spacing w:after="0" w:line="194" w:lineRule="exact"/>
              <w:rPr>
                <w:sz w:val="20"/>
                <w:szCs w:val="20"/>
                <w:color w:val="auto"/>
              </w:rPr>
            </w:pPr>
            <w:r>
              <w:rPr>
                <w:rFonts w:ascii="Arial" w:cs="Arial" w:eastAsia="Arial" w:hAnsi="Arial"/>
                <w:sz w:val="18"/>
                <w:szCs w:val="18"/>
                <w:b w:val="1"/>
                <w:bCs w:val="1"/>
                <w:color w:val="auto"/>
                <w:w w:val="99"/>
              </w:rPr>
              <w:t>Amortization</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60" w:type="dxa"/>
            <w:vAlign w:val="bottom"/>
          </w:tcPr>
          <w:p>
            <w:pPr>
              <w:jc w:val="right"/>
              <w:ind w:right="530"/>
              <w:spacing w:after="0" w:line="194" w:lineRule="exact"/>
              <w:rPr>
                <w:sz w:val="20"/>
                <w:szCs w:val="20"/>
                <w:color w:val="auto"/>
              </w:rPr>
            </w:pPr>
            <w:r>
              <w:rPr>
                <w:rFonts w:ascii="Arial" w:cs="Arial" w:eastAsia="Arial" w:hAnsi="Arial"/>
                <w:sz w:val="18"/>
                <w:szCs w:val="18"/>
                <w:b w:val="1"/>
                <w:bCs w:val="1"/>
                <w:color w:val="auto"/>
              </w:rPr>
              <w:t>Value</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47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0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June 30, 2023</w:t>
            </w: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020" w:type="dxa"/>
            <w:vAlign w:val="bottom"/>
            <w:gridSpan w:val="3"/>
          </w:tcPr>
          <w:p>
            <w:pPr>
              <w:spacing w:after="0"/>
              <w:rPr>
                <w:sz w:val="20"/>
                <w:szCs w:val="20"/>
                <w:color w:val="auto"/>
              </w:rPr>
            </w:pPr>
            <w:r>
              <w:rPr>
                <w:rFonts w:ascii="Arial" w:cs="Arial" w:eastAsia="Arial" w:hAnsi="Arial"/>
                <w:sz w:val="18"/>
                <w:szCs w:val="18"/>
                <w:color w:val="auto"/>
              </w:rPr>
              <w:t>Customer relationships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14,703</w:t>
            </w:r>
          </w:p>
        </w:tc>
        <w:tc>
          <w:tcPr>
            <w:tcW w:w="3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7,035</w:t>
            </w:r>
          </w:p>
        </w:tc>
        <w:tc>
          <w:tcPr>
            <w:tcW w:w="40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7,668</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0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Acquired software and technology</w:t>
            </w: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020" w:type="dxa"/>
            <w:vAlign w:val="bottom"/>
            <w:gridSpan w:val="3"/>
          </w:tcPr>
          <w:p>
            <w:pPr>
              <w:spacing w:after="0"/>
              <w:rPr>
                <w:sz w:val="20"/>
                <w:szCs w:val="20"/>
                <w:color w:val="auto"/>
              </w:rPr>
            </w:pPr>
            <w:r>
              <w:rPr>
                <w:rFonts w:ascii="Arial" w:cs="Arial" w:eastAsia="Arial" w:hAnsi="Arial"/>
                <w:sz w:val="18"/>
                <w:szCs w:val="18"/>
                <w:color w:val="auto"/>
              </w:rPr>
              <w:t>Trade names</w:t>
            </w:r>
          </w:p>
        </w:tc>
        <w:tc>
          <w:tcPr>
            <w:tcW w:w="3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636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326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310</w:t>
            </w:r>
          </w:p>
        </w:tc>
        <w:tc>
          <w:tcPr>
            <w:tcW w:w="0" w:type="dxa"/>
            <w:vAlign w:val="bottom"/>
          </w:tcPr>
          <w:p>
            <w:pPr>
              <w:spacing w:after="0"/>
              <w:rPr>
                <w:sz w:val="1"/>
                <w:szCs w:val="1"/>
                <w:color w:val="auto"/>
              </w:rPr>
            </w:pPr>
          </w:p>
        </w:tc>
      </w:tr>
      <w:tr>
        <w:trPr>
          <w:trHeight w:val="236"/>
        </w:trPr>
        <w:tc>
          <w:tcPr>
            <w:tcW w:w="20" w:type="dxa"/>
            <w:vAlign w:val="bottom"/>
            <w:shd w:val="clear" w:color="auto" w:fill="CCEEFF"/>
          </w:tcPr>
          <w:p>
            <w:pPr>
              <w:spacing w:after="0"/>
              <w:rPr>
                <w:sz w:val="20"/>
                <w:szCs w:val="20"/>
                <w:color w:val="auto"/>
              </w:rPr>
            </w:pPr>
          </w:p>
        </w:tc>
        <w:tc>
          <w:tcPr>
            <w:tcW w:w="60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Purchased software</w:t>
            </w:r>
          </w:p>
        </w:tc>
        <w:tc>
          <w:tcPr>
            <w:tcW w:w="30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1,223</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020" w:type="dxa"/>
            <w:vAlign w:val="bottom"/>
            <w:gridSpan w:val="3"/>
          </w:tcPr>
          <w:p>
            <w:pPr>
              <w:spacing w:after="0"/>
              <w:rPr>
                <w:sz w:val="20"/>
                <w:szCs w:val="20"/>
                <w:color w:val="auto"/>
              </w:rPr>
            </w:pPr>
            <w:r>
              <w:rPr>
                <w:rFonts w:ascii="Arial" w:cs="Arial" w:eastAsia="Arial" w:hAnsi="Arial"/>
                <w:sz w:val="18"/>
                <w:szCs w:val="18"/>
                <w:color w:val="auto"/>
              </w:rPr>
              <w:t>Capitalized software and other intangibles</w:t>
            </w:r>
          </w:p>
        </w:tc>
        <w:tc>
          <w:tcPr>
            <w:tcW w:w="3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3,008</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932</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2,076</w:t>
            </w:r>
          </w:p>
        </w:tc>
        <w:tc>
          <w:tcPr>
            <w:tcW w:w="0" w:type="dxa"/>
            <w:vAlign w:val="bottom"/>
          </w:tcPr>
          <w:p>
            <w:pPr>
              <w:spacing w:after="0"/>
              <w:rPr>
                <w:sz w:val="1"/>
                <w:szCs w:val="1"/>
                <w:color w:val="auto"/>
              </w:rPr>
            </w:pPr>
          </w:p>
        </w:tc>
      </w:tr>
      <w:tr>
        <w:trPr>
          <w:trHeight w:val="250"/>
        </w:trPr>
        <w:tc>
          <w:tcPr>
            <w:tcW w:w="20" w:type="dxa"/>
            <w:vAlign w:val="bottom"/>
            <w:shd w:val="clear" w:color="auto" w:fill="CCEEFF"/>
          </w:tcPr>
          <w:p>
            <w:pPr>
              <w:spacing w:after="0"/>
              <w:rPr>
                <w:sz w:val="21"/>
                <w:szCs w:val="21"/>
                <w:color w:val="auto"/>
              </w:rPr>
            </w:pPr>
          </w:p>
        </w:tc>
        <w:tc>
          <w:tcPr>
            <w:tcW w:w="60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21,935</w:t>
            </w:r>
          </w:p>
        </w:tc>
        <w:tc>
          <w:tcPr>
            <w:tcW w:w="3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10,156</w:t>
            </w:r>
          </w:p>
        </w:tc>
        <w:tc>
          <w:tcPr>
            <w:tcW w:w="40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11,779</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5160" w:type="dxa"/>
            <w:vAlign w:val="bottom"/>
            <w:tcBorders>
              <w:top w:val="single" w:sz="8" w:color="CCEEFF"/>
            </w:tcBorders>
            <w:gridSpan w:val="2"/>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0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December 31, 2022</w:t>
            </w: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020" w:type="dxa"/>
            <w:vAlign w:val="bottom"/>
            <w:gridSpan w:val="3"/>
          </w:tcPr>
          <w:p>
            <w:pPr>
              <w:spacing w:after="0"/>
              <w:rPr>
                <w:sz w:val="20"/>
                <w:szCs w:val="20"/>
                <w:color w:val="auto"/>
              </w:rPr>
            </w:pPr>
            <w:r>
              <w:rPr>
                <w:rFonts w:ascii="Arial" w:cs="Arial" w:eastAsia="Arial" w:hAnsi="Arial"/>
                <w:sz w:val="18"/>
                <w:szCs w:val="18"/>
                <w:color w:val="auto"/>
              </w:rPr>
              <w:t>Customer relationships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14,795</w:t>
            </w:r>
          </w:p>
        </w:tc>
        <w:tc>
          <w:tcPr>
            <w:tcW w:w="3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6,371</w:t>
            </w:r>
          </w:p>
        </w:tc>
        <w:tc>
          <w:tcPr>
            <w:tcW w:w="40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8,424</w:t>
            </w: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60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Acquired software and technology</w:t>
            </w:r>
          </w:p>
        </w:tc>
        <w:tc>
          <w:tcPr>
            <w:tcW w:w="30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2,510</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1,234</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1,276</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020" w:type="dxa"/>
            <w:vAlign w:val="bottom"/>
            <w:gridSpan w:val="3"/>
          </w:tcPr>
          <w:p>
            <w:pPr>
              <w:spacing w:after="0"/>
              <w:rPr>
                <w:sz w:val="20"/>
                <w:szCs w:val="20"/>
                <w:color w:val="auto"/>
              </w:rPr>
            </w:pPr>
            <w:r>
              <w:rPr>
                <w:rFonts w:ascii="Arial" w:cs="Arial" w:eastAsia="Arial" w:hAnsi="Arial"/>
                <w:sz w:val="18"/>
                <w:szCs w:val="18"/>
                <w:color w:val="auto"/>
              </w:rPr>
              <w:t>Trade names</w:t>
            </w: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633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295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338</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0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Purchased software</w:t>
            </w: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w:t>
            </w:r>
          </w:p>
        </w:tc>
        <w:tc>
          <w:tcPr>
            <w:tcW w:w="0" w:type="dxa"/>
            <w:vAlign w:val="bottom"/>
          </w:tcPr>
          <w:p>
            <w:pPr>
              <w:spacing w:after="0"/>
              <w:rPr>
                <w:sz w:val="1"/>
                <w:szCs w:val="1"/>
                <w:color w:val="auto"/>
              </w:rPr>
            </w:pPr>
          </w:p>
        </w:tc>
      </w:tr>
      <w:tr>
        <w:trPr>
          <w:trHeight w:val="237"/>
        </w:trPr>
        <w:tc>
          <w:tcPr>
            <w:tcW w:w="20" w:type="dxa"/>
            <w:vAlign w:val="bottom"/>
            <w:tcBorders>
              <w:bottom w:val="single" w:sz="8" w:color="CCEEFF"/>
            </w:tcBorders>
          </w:tcPr>
          <w:p>
            <w:pPr>
              <w:spacing w:after="0"/>
              <w:rPr>
                <w:sz w:val="20"/>
                <w:szCs w:val="20"/>
                <w:color w:val="auto"/>
              </w:rPr>
            </w:pPr>
          </w:p>
        </w:tc>
        <w:tc>
          <w:tcPr>
            <w:tcW w:w="602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Capitalized software and other intangibles</w:t>
            </w:r>
          </w:p>
        </w:tc>
        <w:tc>
          <w:tcPr>
            <w:tcW w:w="3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2,601</w:t>
            </w:r>
          </w:p>
        </w:tc>
        <w:tc>
          <w:tcPr>
            <w:tcW w:w="1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775</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1,826</w:t>
            </w:r>
          </w:p>
        </w:tc>
        <w:tc>
          <w:tcPr>
            <w:tcW w:w="0" w:type="dxa"/>
            <w:vAlign w:val="bottom"/>
          </w:tcPr>
          <w:p>
            <w:pPr>
              <w:spacing w:after="0"/>
              <w:rPr>
                <w:sz w:val="1"/>
                <w:szCs w:val="1"/>
                <w:color w:val="auto"/>
              </w:rPr>
            </w:pPr>
          </w:p>
        </w:tc>
      </w:tr>
      <w:tr>
        <w:trPr>
          <w:trHeight w:val="254"/>
        </w:trPr>
        <w:tc>
          <w:tcPr>
            <w:tcW w:w="20" w:type="dxa"/>
            <w:vAlign w:val="bottom"/>
            <w:tcBorders>
              <w:bottom w:val="single" w:sz="8" w:color="CCEEFF"/>
            </w:tcBorders>
            <w:shd w:val="clear" w:color="auto" w:fill="CCEEFF"/>
          </w:tcPr>
          <w:p>
            <w:pPr>
              <w:spacing w:after="0"/>
              <w:rPr>
                <w:sz w:val="21"/>
                <w:szCs w:val="21"/>
                <w:color w:val="auto"/>
              </w:rPr>
            </w:pPr>
          </w:p>
        </w:tc>
        <w:tc>
          <w:tcPr>
            <w:tcW w:w="602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21,685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9,270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12,415</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47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Amortization expense associated with the above identifiable intangible assets was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2680" w:type="dxa"/>
            <w:vAlign w:val="bottom"/>
            <w:gridSpan w:val="4"/>
          </w:tcPr>
          <w:p>
            <w:pPr>
              <w:jc w:val="center"/>
              <w:ind w:left="350"/>
              <w:spacing w:after="0"/>
              <w:rPr>
                <w:sz w:val="20"/>
                <w:szCs w:val="20"/>
                <w:color w:val="auto"/>
              </w:rPr>
            </w:pPr>
            <w:r>
              <w:rPr>
                <w:rFonts w:ascii="Arial" w:cs="Arial" w:eastAsia="Arial" w:hAnsi="Arial"/>
                <w:sz w:val="18"/>
                <w:szCs w:val="18"/>
                <w:b w:val="1"/>
                <w:bCs w:val="1"/>
                <w:color w:val="auto"/>
                <w:w w:val="92"/>
              </w:rPr>
              <w:t>Three Months Ended</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0" w:type="dxa"/>
            <w:vAlign w:val="bottom"/>
            <w:gridSpan w:val="4"/>
          </w:tcPr>
          <w:p>
            <w:pPr>
              <w:jc w:val="center"/>
              <w:ind w:right="250"/>
              <w:spacing w:after="0"/>
              <w:rPr>
                <w:sz w:val="20"/>
                <w:szCs w:val="20"/>
                <w:color w:val="auto"/>
              </w:rPr>
            </w:pPr>
            <w:r>
              <w:rPr>
                <w:rFonts w:ascii="Arial" w:cs="Arial" w:eastAsia="Arial" w:hAnsi="Arial"/>
                <w:sz w:val="18"/>
                <w:szCs w:val="18"/>
                <w:b w:val="1"/>
                <w:bCs w:val="1"/>
                <w:color w:val="auto"/>
                <w:w w:val="90"/>
              </w:rPr>
              <w:t>Six Months Ended</w:t>
            </w:r>
          </w:p>
        </w:tc>
      </w:tr>
      <w:tr>
        <w:trPr>
          <w:trHeight w:val="229"/>
        </w:trPr>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960" w:type="dxa"/>
            <w:vAlign w:val="bottom"/>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gridSpan w:val="3"/>
          </w:tcPr>
          <w:p>
            <w:pPr>
              <w:jc w:val="center"/>
              <w:ind w:right="530"/>
              <w:spacing w:after="0"/>
              <w:rPr>
                <w:sz w:val="20"/>
                <w:szCs w:val="20"/>
                <w:color w:val="auto"/>
              </w:rPr>
            </w:pPr>
            <w:r>
              <w:rPr>
                <w:rFonts w:ascii="Arial" w:cs="Arial" w:eastAsia="Arial" w:hAnsi="Arial"/>
                <w:sz w:val="18"/>
                <w:szCs w:val="18"/>
                <w:b w:val="1"/>
                <w:bCs w:val="1"/>
                <w:color w:val="auto"/>
                <w:w w:val="88"/>
              </w:rPr>
              <w:t>June 30,</w:t>
            </w:r>
          </w:p>
        </w:tc>
        <w:tc>
          <w:tcPr>
            <w:tcW w:w="4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gridSpan w:val="3"/>
          </w:tcPr>
          <w:p>
            <w:pPr>
              <w:jc w:val="center"/>
              <w:ind w:left="650"/>
              <w:spacing w:after="0"/>
              <w:rPr>
                <w:sz w:val="20"/>
                <w:szCs w:val="20"/>
                <w:color w:val="auto"/>
              </w:rPr>
            </w:pPr>
            <w:r>
              <w:rPr>
                <w:rFonts w:ascii="Arial" w:cs="Arial" w:eastAsia="Arial" w:hAnsi="Arial"/>
                <w:sz w:val="18"/>
                <w:szCs w:val="18"/>
                <w:b w:val="1"/>
                <w:bCs w:val="1"/>
                <w:color w:val="auto"/>
                <w:w w:val="88"/>
              </w:rPr>
              <w:t>June 30,</w:t>
            </w:r>
          </w:p>
        </w:tc>
        <w:tc>
          <w:tcPr>
            <w:tcW w:w="1100" w:type="dxa"/>
            <w:vAlign w:val="bottom"/>
            <w:tcBorders>
              <w:bottom w:val="single" w:sz="8" w:color="auto"/>
            </w:tcBorders>
          </w:tcPr>
          <w:p>
            <w:pPr>
              <w:spacing w:after="0"/>
              <w:rPr>
                <w:sz w:val="19"/>
                <w:szCs w:val="19"/>
                <w:color w:val="auto"/>
              </w:rPr>
            </w:pPr>
          </w:p>
        </w:tc>
      </w:tr>
      <w:tr>
        <w:trPr>
          <w:trHeight w:val="196"/>
        </w:trPr>
        <w:tc>
          <w:tcPr>
            <w:tcW w:w="20" w:type="dxa"/>
            <w:vAlign w:val="bottom"/>
          </w:tcPr>
          <w:p>
            <w:pPr>
              <w:spacing w:after="0"/>
              <w:rPr>
                <w:sz w:val="17"/>
                <w:szCs w:val="17"/>
                <w:color w:val="auto"/>
              </w:rPr>
            </w:pPr>
          </w:p>
        </w:tc>
        <w:tc>
          <w:tcPr>
            <w:tcW w:w="4820" w:type="dxa"/>
            <w:vAlign w:val="bottom"/>
            <w:gridSpan w:val="2"/>
          </w:tcPr>
          <w:p>
            <w:pPr>
              <w:spacing w:after="0"/>
              <w:rPr>
                <w:sz w:val="20"/>
                <w:szCs w:val="20"/>
                <w:color w:val="auto"/>
              </w:rPr>
            </w:pPr>
            <w:r>
              <w:rPr>
                <w:rFonts w:ascii="Arial" w:cs="Arial" w:eastAsia="Arial" w:hAnsi="Arial"/>
                <w:sz w:val="16"/>
                <w:szCs w:val="16"/>
                <w:b w:val="1"/>
                <w:bCs w:val="1"/>
                <w:color w:val="auto"/>
              </w:rPr>
              <w:t>(In millions)</w:t>
            </w:r>
          </w:p>
        </w:tc>
        <w:tc>
          <w:tcPr>
            <w:tcW w:w="1060" w:type="dxa"/>
            <w:vAlign w:val="bottom"/>
          </w:tcPr>
          <w:p>
            <w:pPr>
              <w:jc w:val="right"/>
              <w:ind w:right="30"/>
              <w:spacing w:after="0" w:line="196" w:lineRule="exact"/>
              <w:rPr>
                <w:sz w:val="20"/>
                <w:szCs w:val="20"/>
                <w:color w:val="auto"/>
              </w:rPr>
            </w:pPr>
            <w:r>
              <w:rPr>
                <w:rFonts w:ascii="Arial" w:cs="Arial" w:eastAsia="Arial" w:hAnsi="Arial"/>
                <w:sz w:val="18"/>
                <w:szCs w:val="18"/>
                <w:b w:val="1"/>
                <w:bCs w:val="1"/>
                <w:color w:val="auto"/>
              </w:rPr>
              <w:t>2023</w:t>
            </w:r>
          </w:p>
        </w:tc>
        <w:tc>
          <w:tcPr>
            <w:tcW w:w="460" w:type="dxa"/>
            <w:vAlign w:val="bottom"/>
          </w:tcPr>
          <w:p>
            <w:pPr>
              <w:spacing w:after="0"/>
              <w:rPr>
                <w:sz w:val="17"/>
                <w:szCs w:val="17"/>
                <w:color w:val="auto"/>
              </w:rPr>
            </w:pPr>
          </w:p>
        </w:tc>
        <w:tc>
          <w:tcPr>
            <w:tcW w:w="1160" w:type="dxa"/>
            <w:vAlign w:val="bottom"/>
            <w:gridSpan w:val="2"/>
          </w:tcPr>
          <w:p>
            <w:pPr>
              <w:jc w:val="right"/>
              <w:ind w:right="30"/>
              <w:spacing w:after="0" w:line="196" w:lineRule="exact"/>
              <w:rPr>
                <w:sz w:val="20"/>
                <w:szCs w:val="20"/>
                <w:color w:val="auto"/>
              </w:rPr>
            </w:pPr>
            <w:r>
              <w:rPr>
                <w:rFonts w:ascii="Arial" w:cs="Arial" w:eastAsia="Arial" w:hAnsi="Arial"/>
                <w:sz w:val="18"/>
                <w:szCs w:val="18"/>
                <w:b w:val="1"/>
                <w:bCs w:val="1"/>
                <w:color w:val="auto"/>
              </w:rPr>
              <w:t>2022</w:t>
            </w: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ind w:right="490"/>
              <w:spacing w:after="0" w:line="196" w:lineRule="exact"/>
              <w:rPr>
                <w:sz w:val="20"/>
                <w:szCs w:val="20"/>
                <w:color w:val="auto"/>
              </w:rPr>
            </w:pPr>
            <w:r>
              <w:rPr>
                <w:rFonts w:ascii="Arial" w:cs="Arial" w:eastAsia="Arial" w:hAnsi="Arial"/>
                <w:sz w:val="18"/>
                <w:szCs w:val="18"/>
                <w:b w:val="1"/>
                <w:bCs w:val="1"/>
                <w:color w:val="auto"/>
              </w:rPr>
              <w:t>2023</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00" w:type="dxa"/>
            <w:vAlign w:val="bottom"/>
          </w:tcPr>
          <w:p>
            <w:pPr>
              <w:jc w:val="right"/>
              <w:ind w:right="490"/>
              <w:spacing w:after="0" w:line="196" w:lineRule="exact"/>
              <w:rPr>
                <w:sz w:val="20"/>
                <w:szCs w:val="20"/>
                <w:color w:val="auto"/>
              </w:rPr>
            </w:pPr>
            <w:r>
              <w:rPr>
                <w:rFonts w:ascii="Arial" w:cs="Arial" w:eastAsia="Arial" w:hAnsi="Arial"/>
                <w:sz w:val="18"/>
                <w:szCs w:val="18"/>
                <w:b w:val="1"/>
                <w:bCs w:val="1"/>
                <w:color w:val="auto"/>
              </w:rPr>
              <w:t>2022</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396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Amortization expense</w:t>
            </w:r>
          </w:p>
        </w:tc>
        <w:tc>
          <w:tcPr>
            <w:tcW w:w="1060" w:type="dxa"/>
            <w:vAlign w:val="bottom"/>
            <w:shd w:val="clear" w:color="auto" w:fill="CCEEFF"/>
          </w:tcPr>
          <w:p>
            <w:pPr>
              <w:jc w:val="right"/>
              <w:ind w:right="870"/>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850"/>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1,209</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1,246</w:t>
            </w: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Investments in Unconsolidated Affiliates</w:t>
      </w:r>
    </w:p>
    <w:p>
      <w:pPr>
        <w:spacing w:after="0" w:line="175"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The Company maintains investments in various affiliates that are accounted for as equity method investments, the most significant of which are related to the Company’s merchant alliances. The Company’s share of net income or loss from these investments is reported within (loss) income from investments in unconsolidated affiliates and the related tax expense or benefit is reported within the income tax provision in the consolidated statements of income. The Company reviews its equity method investments each reporting period for indications of an other-than-temporary deterioration in value. A deterioration in value of an equity method investment determined to be other-than-temporary is recorded as a current-period impairment charge within (loss) income from investments in unconsolidated affiliates in the consolidated statements of income.</w:t>
      </w:r>
    </w:p>
    <w:p>
      <w:pPr>
        <w:spacing w:after="0" w:line="124"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Company maintains noncontrolling ownership interests in Sagent M&amp;C, LLC (“Sagent”) and defi SOLUTIONS Group, LLC (collectively the “Lending Joint Ventures”), which are accounted for under the equity method. In March 2022, Sagent completed a transaction with a third party for the contribution from and the sale by such third party to Sagent of certain intangible and tangible personal property rights, resulting in a dilution of the Company’s ownership interest in Sagent. As a result of the transaction, the Company recognized a pre-tax gain of $80 million within (loss) income from investments in unconsolidated affiliates, with related tax expense of $19 million recorded through the income tax provision, in the consolidated statement of income during the six months ended June 30, 2022. The Company’s remaining noncontrolling ownership interest in Sagent continues to be accounted for as an equity method investment.</w:t>
      </w:r>
    </w:p>
    <w:p>
      <w:pPr>
        <w:spacing w:after="0" w:line="14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Lending Joint Ventures maintain, as amended in April 2022, variable-rate term loan facilities with aggregate outstanding borrowings of $437 million in senior unsecured debt at June 30, 2023 and variable-rate revolving credit facilities with an aggregate borrowing capacity of $83 million with a syndicate of banks, which mature in April 2027. There were $33 million of aggregate outstanding borrowings on the revolving credit facilities at June 30, 2023. The Company has guaranteed the debt of the Lending Joint Ventures and does not anticipate that the Lending Joint Ventures will fail to fulfill their debt obligations (see Note 7).</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Fair Value Measurements</w:t>
      </w:r>
    </w:p>
    <w:p>
      <w:pPr>
        <w:spacing w:after="0" w:line="175"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The fair values of cash equivalents, trade accounts receivable, other current assets, settlement assets and obligations, accounts payable, and client deposits approximate their respective carrying values due to the short period of time to maturity. The Company maintains forward exchange contracts, certain of which are designated as cash flow hedges, to hedge foreign currency exposure. The Company also maintains cross-currency rate swap contracts designated as: (i) net investment hedges, to hedge a portion of its net investment in certain subsidiaries whose functional currencies are the Euro (see Note 12) and (ii) a fair value hedge of the spot foreign exchange rate risk on the principal amount of its British Pound-denominated 2.250% senior notes due in July 2025. These derivative instruments are measured on a recurring basis based on foreign currency spot rates and forwards quoted by banks and foreign currency dealers and are marked to market each period. Contingent consideration related to certain of the Company’s acquisitions (see Note 4) is estimated using the present value of a probability-weighted assessment approach based on the likelihood of achieving the earn-out criteria. The fair value of the Company’s contingent liability for current expected credit losses associated with its debt guarantees, as further described below, is estimated based on assumptions of future risk of default and the corresponding level of credit losses at the time of default.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Assets and liabilities measured at fair value on a recurring basis consisted of the following:</w:t>
      </w:r>
    </w:p>
    <w:p>
      <w:pPr>
        <w:spacing w:after="0" w:line="46"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gridSpan w:val="4"/>
          </w:tcPr>
          <w:p>
            <w:pPr>
              <w:jc w:val="right"/>
              <w:ind w:right="1090"/>
              <w:spacing w:after="0"/>
              <w:rPr>
                <w:sz w:val="20"/>
                <w:szCs w:val="20"/>
                <w:color w:val="auto"/>
              </w:rPr>
            </w:pPr>
            <w:r>
              <w:rPr>
                <w:rFonts w:ascii="Arial" w:cs="Arial" w:eastAsia="Arial" w:hAnsi="Arial"/>
                <w:sz w:val="18"/>
                <w:szCs w:val="18"/>
                <w:b w:val="1"/>
                <w:bCs w:val="1"/>
                <w:color w:val="auto"/>
              </w:rPr>
              <w:t>Fair Value</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3380" w:type="dxa"/>
            <w:vAlign w:val="bottom"/>
          </w:tcPr>
          <w:p>
            <w:pPr>
              <w:spacing w:after="0"/>
              <w:rPr>
                <w:sz w:val="15"/>
                <w:szCs w:val="15"/>
                <w:color w:val="auto"/>
              </w:rPr>
            </w:pPr>
          </w:p>
        </w:tc>
        <w:tc>
          <w:tcPr>
            <w:tcW w:w="1460" w:type="dxa"/>
            <w:vAlign w:val="bottom"/>
            <w:gridSpan w:val="2"/>
          </w:tcPr>
          <w:p>
            <w:pPr>
              <w:jc w:val="center"/>
              <w:ind w:left="50"/>
              <w:spacing w:after="0" w:line="177" w:lineRule="exact"/>
              <w:rPr>
                <w:sz w:val="20"/>
                <w:szCs w:val="20"/>
                <w:color w:val="auto"/>
              </w:rPr>
            </w:pPr>
            <w:r>
              <w:rPr>
                <w:rFonts w:ascii="Arial" w:cs="Arial" w:eastAsia="Arial" w:hAnsi="Arial"/>
                <w:sz w:val="18"/>
                <w:szCs w:val="18"/>
                <w:b w:val="1"/>
                <w:bCs w:val="1"/>
                <w:color w:val="auto"/>
                <w:w w:val="92"/>
              </w:rPr>
              <w:t>Fair Value</w:t>
            </w:r>
          </w:p>
        </w:tc>
        <w:tc>
          <w:tcPr>
            <w:tcW w:w="280" w:type="dxa"/>
            <w:vAlign w:val="bottom"/>
          </w:tcPr>
          <w:p>
            <w:pPr>
              <w:spacing w:after="0"/>
              <w:rPr>
                <w:sz w:val="15"/>
                <w:szCs w:val="15"/>
                <w:color w:val="auto"/>
              </w:rPr>
            </w:pPr>
          </w:p>
        </w:tc>
        <w:tc>
          <w:tcPr>
            <w:tcW w:w="1240" w:type="dxa"/>
            <w:vAlign w:val="bottom"/>
          </w:tcPr>
          <w:p>
            <w:pPr>
              <w:jc w:val="right"/>
              <w:ind w:right="350"/>
              <w:spacing w:after="0" w:line="177" w:lineRule="exact"/>
              <w:rPr>
                <w:sz w:val="20"/>
                <w:szCs w:val="20"/>
                <w:color w:val="auto"/>
              </w:rPr>
            </w:pPr>
            <w:r>
              <w:rPr>
                <w:rFonts w:ascii="Arial" w:cs="Arial" w:eastAsia="Arial" w:hAnsi="Arial"/>
                <w:sz w:val="18"/>
                <w:szCs w:val="18"/>
                <w:b w:val="1"/>
                <w:bCs w:val="1"/>
                <w:color w:val="auto"/>
              </w:rPr>
              <w:t>June 30,</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tcPr>
          <w:p>
            <w:pPr>
              <w:jc w:val="right"/>
              <w:ind w:right="150"/>
              <w:spacing w:after="0" w:line="177" w:lineRule="exact"/>
              <w:rPr>
                <w:sz w:val="20"/>
                <w:szCs w:val="20"/>
                <w:color w:val="auto"/>
              </w:rPr>
            </w:pPr>
            <w:r>
              <w:rPr>
                <w:rFonts w:ascii="Arial" w:cs="Arial" w:eastAsia="Arial" w:hAnsi="Arial"/>
                <w:sz w:val="18"/>
                <w:szCs w:val="18"/>
                <w:b w:val="1"/>
                <w:bCs w:val="1"/>
                <w:color w:val="auto"/>
                <w:w w:val="93"/>
              </w:rPr>
              <w:t>December 31,</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180" w:type="dxa"/>
            <w:vAlign w:val="bottom"/>
            <w:gridSpan w:val="2"/>
          </w:tcPr>
          <w:p>
            <w:pPr>
              <w:spacing w:after="0"/>
              <w:rPr>
                <w:sz w:val="20"/>
                <w:szCs w:val="20"/>
                <w:color w:val="auto"/>
              </w:rPr>
            </w:pPr>
            <w:r>
              <w:rPr>
                <w:rFonts w:ascii="Arial" w:cs="Arial" w:eastAsia="Arial" w:hAnsi="Arial"/>
                <w:sz w:val="16"/>
                <w:szCs w:val="16"/>
                <w:b w:val="1"/>
                <w:bCs w:val="1"/>
                <w:color w:val="auto"/>
              </w:rPr>
              <w:t>(In millions)</w:t>
            </w:r>
          </w:p>
        </w:tc>
        <w:tc>
          <w:tcPr>
            <w:tcW w:w="3380" w:type="dxa"/>
            <w:vAlign w:val="bottom"/>
          </w:tcPr>
          <w:p>
            <w:pPr>
              <w:ind w:left="1280"/>
              <w:spacing w:after="0" w:line="194" w:lineRule="exact"/>
              <w:rPr>
                <w:sz w:val="20"/>
                <w:szCs w:val="20"/>
                <w:color w:val="auto"/>
              </w:rPr>
            </w:pPr>
            <w:r>
              <w:rPr>
                <w:rFonts w:ascii="Arial" w:cs="Arial" w:eastAsia="Arial" w:hAnsi="Arial"/>
                <w:sz w:val="18"/>
                <w:szCs w:val="18"/>
                <w:b w:val="1"/>
                <w:bCs w:val="1"/>
                <w:color w:val="auto"/>
              </w:rPr>
              <w:t>Classification</w:t>
            </w:r>
          </w:p>
        </w:tc>
        <w:tc>
          <w:tcPr>
            <w:tcW w:w="1460" w:type="dxa"/>
            <w:vAlign w:val="bottom"/>
            <w:gridSpan w:val="2"/>
          </w:tcPr>
          <w:p>
            <w:pPr>
              <w:jc w:val="center"/>
              <w:ind w:left="30"/>
              <w:spacing w:after="0" w:line="194" w:lineRule="exact"/>
              <w:rPr>
                <w:sz w:val="20"/>
                <w:szCs w:val="20"/>
                <w:color w:val="auto"/>
              </w:rPr>
            </w:pPr>
            <w:r>
              <w:rPr>
                <w:rFonts w:ascii="Arial" w:cs="Arial" w:eastAsia="Arial" w:hAnsi="Arial"/>
                <w:sz w:val="18"/>
                <w:szCs w:val="18"/>
                <w:b w:val="1"/>
                <w:bCs w:val="1"/>
                <w:color w:val="auto"/>
                <w:w w:val="93"/>
              </w:rPr>
              <w:t>Hierarchy</w:t>
            </w:r>
          </w:p>
        </w:tc>
        <w:tc>
          <w:tcPr>
            <w:tcW w:w="280" w:type="dxa"/>
            <w:vAlign w:val="bottom"/>
          </w:tcPr>
          <w:p>
            <w:pPr>
              <w:spacing w:after="0"/>
              <w:rPr>
                <w:sz w:val="16"/>
                <w:szCs w:val="16"/>
                <w:color w:val="auto"/>
              </w:rPr>
            </w:pPr>
          </w:p>
        </w:tc>
        <w:tc>
          <w:tcPr>
            <w:tcW w:w="1240" w:type="dxa"/>
            <w:vAlign w:val="bottom"/>
          </w:tcPr>
          <w:p>
            <w:pPr>
              <w:jc w:val="right"/>
              <w:ind w:right="490"/>
              <w:spacing w:after="0" w:line="194" w:lineRule="exact"/>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tcPr>
          <w:p>
            <w:pPr>
              <w:jc w:val="right"/>
              <w:ind w:right="490"/>
              <w:spacing w:after="0" w:line="194" w:lineRule="exact"/>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40" w:type="dxa"/>
            <w:vAlign w:val="bottom"/>
            <w:tcBorders>
              <w:top w:val="single" w:sz="8" w:color="auto"/>
              <w:bottom w:val="single" w:sz="8" w:color="CCEEFF"/>
            </w:tcBorders>
          </w:tcPr>
          <w:p>
            <w:pPr>
              <w:spacing w:after="0" w:line="20" w:lineRule="exact"/>
              <w:rPr>
                <w:sz w:val="1"/>
                <w:szCs w:val="1"/>
                <w:color w:val="auto"/>
              </w:rPr>
            </w:pPr>
          </w:p>
        </w:tc>
        <w:tc>
          <w:tcPr>
            <w:tcW w:w="2340" w:type="dxa"/>
            <w:vAlign w:val="bottom"/>
            <w:tcBorders>
              <w:bottom w:val="single" w:sz="8" w:color="CCEEFF"/>
            </w:tcBorders>
          </w:tcPr>
          <w:p>
            <w:pPr>
              <w:spacing w:after="0" w:line="20" w:lineRule="exact"/>
              <w:rPr>
                <w:sz w:val="1"/>
                <w:szCs w:val="1"/>
                <w:color w:val="auto"/>
              </w:rPr>
            </w:pPr>
          </w:p>
        </w:tc>
        <w:tc>
          <w:tcPr>
            <w:tcW w:w="33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1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33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180" w:type="dxa"/>
            <w:vAlign w:val="bottom"/>
            <w:gridSpan w:val="2"/>
          </w:tcPr>
          <w:p>
            <w:pPr>
              <w:ind w:left="100"/>
              <w:spacing w:after="0" w:line="176" w:lineRule="exact"/>
              <w:rPr>
                <w:sz w:val="20"/>
                <w:szCs w:val="20"/>
                <w:color w:val="auto"/>
              </w:rPr>
            </w:pPr>
            <w:r>
              <w:rPr>
                <w:rFonts w:ascii="Arial" w:cs="Arial" w:eastAsia="Arial" w:hAnsi="Arial"/>
                <w:sz w:val="18"/>
                <w:szCs w:val="18"/>
                <w:color w:val="auto"/>
                <w:w w:val="89"/>
              </w:rPr>
              <w:t>Forward exchange contract not designated</w:t>
            </w:r>
          </w:p>
        </w:tc>
        <w:tc>
          <w:tcPr>
            <w:tcW w:w="3380" w:type="dxa"/>
            <w:vAlign w:val="bottom"/>
            <w:vMerge w:val="restart"/>
          </w:tcPr>
          <w:p>
            <w:pPr>
              <w:ind w:left="20"/>
              <w:spacing w:after="0"/>
              <w:rPr>
                <w:sz w:val="20"/>
                <w:szCs w:val="20"/>
                <w:color w:val="auto"/>
              </w:rPr>
            </w:pPr>
            <w:r>
              <w:rPr>
                <w:rFonts w:ascii="Arial" w:cs="Arial" w:eastAsia="Arial" w:hAnsi="Arial"/>
                <w:sz w:val="18"/>
                <w:szCs w:val="18"/>
                <w:color w:val="auto"/>
                <w:w w:val="97"/>
              </w:rPr>
              <w:t>Prepaid expenses and other current assets</w:t>
            </w:r>
          </w:p>
        </w:tc>
        <w:tc>
          <w:tcPr>
            <w:tcW w:w="1460" w:type="dxa"/>
            <w:vAlign w:val="bottom"/>
            <w:gridSpan w:val="2"/>
            <w:vMerge w:val="restart"/>
          </w:tcPr>
          <w:p>
            <w:pPr>
              <w:jc w:val="center"/>
              <w:ind w:left="30"/>
              <w:spacing w:after="0"/>
              <w:rPr>
                <w:sz w:val="20"/>
                <w:szCs w:val="20"/>
                <w:color w:val="auto"/>
              </w:rPr>
            </w:pPr>
            <w:r>
              <w:rPr>
                <w:rFonts w:ascii="Arial" w:cs="Arial" w:eastAsia="Arial" w:hAnsi="Arial"/>
                <w:sz w:val="18"/>
                <w:szCs w:val="18"/>
                <w:color w:val="auto"/>
                <w:w w:val="92"/>
              </w:rPr>
              <w:t>Level 2</w:t>
            </w:r>
          </w:p>
        </w:tc>
        <w:tc>
          <w:tcPr>
            <w:tcW w:w="280" w:type="dxa"/>
            <w:vAlign w:val="bottom"/>
            <w:vMerge w:val="restart"/>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28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w:t>
            </w:r>
          </w:p>
        </w:tc>
        <w:tc>
          <w:tcPr>
            <w:tcW w:w="13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180" w:type="dxa"/>
            <w:vAlign w:val="bottom"/>
            <w:gridSpan w:val="2"/>
          </w:tcPr>
          <w:p>
            <w:pPr>
              <w:ind w:left="180"/>
              <w:spacing w:after="0"/>
              <w:rPr>
                <w:sz w:val="20"/>
                <w:szCs w:val="20"/>
                <w:color w:val="auto"/>
              </w:rPr>
            </w:pPr>
            <w:r>
              <w:rPr>
                <w:rFonts w:ascii="Arial" w:cs="Arial" w:eastAsia="Arial" w:hAnsi="Arial"/>
                <w:sz w:val="18"/>
                <w:szCs w:val="18"/>
                <w:color w:val="auto"/>
              </w:rPr>
              <w:t>as a hedge</w:t>
            </w:r>
          </w:p>
        </w:tc>
        <w:tc>
          <w:tcPr>
            <w:tcW w:w="3380" w:type="dxa"/>
            <w:vAlign w:val="bottom"/>
            <w:vMerge w:val="continue"/>
          </w:tcPr>
          <w:p>
            <w:pPr>
              <w:spacing w:after="0"/>
              <w:rPr>
                <w:sz w:val="19"/>
                <w:szCs w:val="19"/>
                <w:color w:val="auto"/>
              </w:rPr>
            </w:pPr>
          </w:p>
        </w:tc>
        <w:tc>
          <w:tcPr>
            <w:tcW w:w="1460" w:type="dxa"/>
            <w:vAlign w:val="bottom"/>
            <w:gridSpan w:val="2"/>
            <w:vMerge w:val="continue"/>
          </w:tcPr>
          <w:p>
            <w:pPr>
              <w:spacing w:after="0"/>
              <w:rPr>
                <w:sz w:val="19"/>
                <w:szCs w:val="19"/>
                <w:color w:val="auto"/>
              </w:rPr>
            </w:pPr>
          </w:p>
        </w:tc>
        <w:tc>
          <w:tcPr>
            <w:tcW w:w="280" w:type="dxa"/>
            <w:vAlign w:val="bottom"/>
            <w:vMerge w:val="continue"/>
          </w:tcPr>
          <w:p>
            <w:pPr>
              <w:spacing w:after="0"/>
              <w:rPr>
                <w:sz w:val="19"/>
                <w:szCs w:val="19"/>
                <w:color w:val="auto"/>
              </w:rPr>
            </w:pPr>
          </w:p>
        </w:tc>
        <w:tc>
          <w:tcPr>
            <w:tcW w:w="1240" w:type="dxa"/>
            <w:vAlign w:val="bottom"/>
            <w:vMerge w:val="continue"/>
          </w:tcPr>
          <w:p>
            <w:pPr>
              <w:spacing w:after="0"/>
              <w:rPr>
                <w:sz w:val="19"/>
                <w:szCs w:val="19"/>
                <w:color w:val="auto"/>
              </w:rPr>
            </w:pPr>
          </w:p>
        </w:tc>
        <w:tc>
          <w:tcPr>
            <w:tcW w:w="280" w:type="dxa"/>
            <w:vAlign w:val="bottom"/>
            <w:gridSpan w:val="2"/>
            <w:vMerge w:val="continue"/>
          </w:tcPr>
          <w:p>
            <w:pPr>
              <w:spacing w:after="0"/>
              <w:rPr>
                <w:sz w:val="19"/>
                <w:szCs w:val="19"/>
                <w:color w:val="auto"/>
              </w:rPr>
            </w:pPr>
          </w:p>
        </w:tc>
        <w:tc>
          <w:tcPr>
            <w:tcW w:w="13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20" w:type="dxa"/>
            <w:vAlign w:val="bottom"/>
            <w:shd w:val="clear" w:color="auto" w:fill="CCEEFF"/>
          </w:tcPr>
          <w:p>
            <w:pPr>
              <w:spacing w:after="0"/>
              <w:rPr>
                <w:sz w:val="16"/>
                <w:szCs w:val="16"/>
                <w:color w:val="auto"/>
              </w:rPr>
            </w:pPr>
          </w:p>
        </w:tc>
        <w:tc>
          <w:tcPr>
            <w:tcW w:w="3180" w:type="dxa"/>
            <w:vAlign w:val="bottom"/>
            <w:gridSpan w:val="2"/>
            <w:shd w:val="clear" w:color="auto" w:fill="CCEEFF"/>
          </w:tcPr>
          <w:p>
            <w:pPr>
              <w:ind w:left="100"/>
              <w:spacing w:after="0" w:line="189" w:lineRule="exact"/>
              <w:rPr>
                <w:sz w:val="20"/>
                <w:szCs w:val="20"/>
                <w:color w:val="auto"/>
              </w:rPr>
            </w:pPr>
            <w:r>
              <w:rPr>
                <w:rFonts w:ascii="Arial" w:cs="Arial" w:eastAsia="Arial" w:hAnsi="Arial"/>
                <w:sz w:val="18"/>
                <w:szCs w:val="18"/>
                <w:color w:val="auto"/>
                <w:w w:val="88"/>
              </w:rPr>
              <w:t>Forward exchange contracts designated as</w:t>
            </w:r>
          </w:p>
        </w:tc>
        <w:tc>
          <w:tcPr>
            <w:tcW w:w="338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20"/>
                <w:szCs w:val="20"/>
                <w:color w:val="auto"/>
              </w:rPr>
            </w:pPr>
          </w:p>
        </w:tc>
        <w:tc>
          <w:tcPr>
            <w:tcW w:w="31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cash flow hedges</w:t>
            </w:r>
          </w:p>
        </w:tc>
        <w:tc>
          <w:tcPr>
            <w:tcW w:w="33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7"/>
              </w:rPr>
              <w:t>Prepaid expenses and other current assets</w:t>
            </w:r>
          </w:p>
        </w:tc>
        <w:tc>
          <w:tcPr>
            <w:tcW w:w="146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2"/>
              </w:rPr>
              <w:t>Level 2</w:t>
            </w:r>
          </w:p>
        </w:tc>
        <w:tc>
          <w:tcPr>
            <w:tcW w:w="28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180" w:type="dxa"/>
            <w:vAlign w:val="bottom"/>
            <w:gridSpan w:val="2"/>
          </w:tcPr>
          <w:p>
            <w:pPr>
              <w:ind w:left="100"/>
              <w:spacing w:after="0" w:line="176" w:lineRule="exact"/>
              <w:rPr>
                <w:sz w:val="20"/>
                <w:szCs w:val="20"/>
                <w:color w:val="auto"/>
              </w:rPr>
            </w:pPr>
            <w:r>
              <w:rPr>
                <w:rFonts w:ascii="Arial" w:cs="Arial" w:eastAsia="Arial" w:hAnsi="Arial"/>
                <w:sz w:val="18"/>
                <w:szCs w:val="18"/>
                <w:color w:val="auto"/>
                <w:w w:val="88"/>
              </w:rPr>
              <w:t>Forward exchange contracts designated as</w:t>
            </w:r>
          </w:p>
        </w:tc>
        <w:tc>
          <w:tcPr>
            <w:tcW w:w="3380" w:type="dxa"/>
            <w:vAlign w:val="bottom"/>
            <w:vMerge w:val="restart"/>
          </w:tcPr>
          <w:p>
            <w:pPr>
              <w:ind w:left="20"/>
              <w:spacing w:after="0"/>
              <w:rPr>
                <w:sz w:val="20"/>
                <w:szCs w:val="20"/>
                <w:color w:val="auto"/>
              </w:rPr>
            </w:pPr>
            <w:r>
              <w:rPr>
                <w:rFonts w:ascii="Arial" w:cs="Arial" w:eastAsia="Arial" w:hAnsi="Arial"/>
                <w:sz w:val="18"/>
                <w:szCs w:val="18"/>
                <w:color w:val="auto"/>
              </w:rPr>
              <w:t>Other long-term assets</w:t>
            </w:r>
          </w:p>
        </w:tc>
        <w:tc>
          <w:tcPr>
            <w:tcW w:w="1460" w:type="dxa"/>
            <w:vAlign w:val="bottom"/>
            <w:gridSpan w:val="2"/>
            <w:vMerge w:val="restart"/>
          </w:tcPr>
          <w:p>
            <w:pPr>
              <w:jc w:val="center"/>
              <w:ind w:left="30"/>
              <w:spacing w:after="0"/>
              <w:rPr>
                <w:sz w:val="20"/>
                <w:szCs w:val="20"/>
                <w:color w:val="auto"/>
              </w:rPr>
            </w:pPr>
            <w:r>
              <w:rPr>
                <w:rFonts w:ascii="Arial" w:cs="Arial" w:eastAsia="Arial" w:hAnsi="Arial"/>
                <w:sz w:val="18"/>
                <w:szCs w:val="18"/>
                <w:color w:val="auto"/>
                <w:w w:val="92"/>
              </w:rPr>
              <w:t>Level 2</w:t>
            </w:r>
          </w:p>
        </w:tc>
        <w:tc>
          <w:tcPr>
            <w:tcW w:w="280" w:type="dxa"/>
            <w:vAlign w:val="bottom"/>
          </w:tcPr>
          <w:p>
            <w:pPr>
              <w:spacing w:after="0"/>
              <w:rPr>
                <w:sz w:val="15"/>
                <w:szCs w:val="15"/>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180" w:type="dxa"/>
            <w:vAlign w:val="bottom"/>
            <w:gridSpan w:val="2"/>
          </w:tcPr>
          <w:p>
            <w:pPr>
              <w:ind w:left="180"/>
              <w:spacing w:after="0"/>
              <w:rPr>
                <w:sz w:val="20"/>
                <w:szCs w:val="20"/>
                <w:color w:val="auto"/>
              </w:rPr>
            </w:pPr>
            <w:r>
              <w:rPr>
                <w:rFonts w:ascii="Arial" w:cs="Arial" w:eastAsia="Arial" w:hAnsi="Arial"/>
                <w:sz w:val="18"/>
                <w:szCs w:val="18"/>
                <w:color w:val="auto"/>
              </w:rPr>
              <w:t>cash flow hedges</w:t>
            </w:r>
          </w:p>
        </w:tc>
        <w:tc>
          <w:tcPr>
            <w:tcW w:w="3380" w:type="dxa"/>
            <w:vAlign w:val="bottom"/>
            <w:vMerge w:val="continue"/>
          </w:tcPr>
          <w:p>
            <w:pPr>
              <w:spacing w:after="0"/>
              <w:rPr>
                <w:sz w:val="20"/>
                <w:szCs w:val="20"/>
                <w:color w:val="auto"/>
              </w:rPr>
            </w:pPr>
          </w:p>
        </w:tc>
        <w:tc>
          <w:tcPr>
            <w:tcW w:w="1460" w:type="dxa"/>
            <w:vAlign w:val="bottom"/>
            <w:gridSpan w:val="2"/>
            <w:vMerge w:val="continue"/>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20" w:type="dxa"/>
            <w:vAlign w:val="bottom"/>
            <w:shd w:val="clear" w:color="auto" w:fill="CCEEFF"/>
          </w:tcPr>
          <w:p>
            <w:pPr>
              <w:spacing w:after="0"/>
              <w:rPr>
                <w:sz w:val="20"/>
                <w:szCs w:val="20"/>
                <w:color w:val="auto"/>
              </w:rPr>
            </w:pPr>
          </w:p>
        </w:tc>
        <w:tc>
          <w:tcPr>
            <w:tcW w:w="31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338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180" w:type="dxa"/>
            <w:vAlign w:val="bottom"/>
            <w:gridSpan w:val="2"/>
          </w:tcPr>
          <w:p>
            <w:pPr>
              <w:ind w:left="100"/>
              <w:spacing w:after="0" w:line="176" w:lineRule="exact"/>
              <w:rPr>
                <w:sz w:val="20"/>
                <w:szCs w:val="20"/>
                <w:color w:val="auto"/>
              </w:rPr>
            </w:pPr>
            <w:r>
              <w:rPr>
                <w:rFonts w:ascii="Arial" w:cs="Arial" w:eastAsia="Arial" w:hAnsi="Arial"/>
                <w:sz w:val="18"/>
                <w:szCs w:val="18"/>
                <w:color w:val="auto"/>
              </w:rPr>
              <w:t>Cross-currency rate swap contract</w:t>
            </w:r>
          </w:p>
        </w:tc>
        <w:tc>
          <w:tcPr>
            <w:tcW w:w="3380" w:type="dxa"/>
            <w:vAlign w:val="bottom"/>
            <w:vMerge w:val="restart"/>
          </w:tcPr>
          <w:p>
            <w:pPr>
              <w:ind w:left="20"/>
              <w:spacing w:after="0"/>
              <w:rPr>
                <w:sz w:val="20"/>
                <w:szCs w:val="20"/>
                <w:color w:val="auto"/>
              </w:rPr>
            </w:pPr>
            <w:r>
              <w:rPr>
                <w:rFonts w:ascii="Arial" w:cs="Arial" w:eastAsia="Arial" w:hAnsi="Arial"/>
                <w:sz w:val="18"/>
                <w:szCs w:val="18"/>
                <w:color w:val="auto"/>
              </w:rPr>
              <w:t>Other long-term liabilities</w:t>
            </w:r>
          </w:p>
        </w:tc>
        <w:tc>
          <w:tcPr>
            <w:tcW w:w="1460" w:type="dxa"/>
            <w:vAlign w:val="bottom"/>
            <w:gridSpan w:val="2"/>
            <w:vMerge w:val="restart"/>
          </w:tcPr>
          <w:p>
            <w:pPr>
              <w:jc w:val="center"/>
              <w:ind w:left="30"/>
              <w:spacing w:after="0"/>
              <w:rPr>
                <w:sz w:val="20"/>
                <w:szCs w:val="20"/>
                <w:color w:val="auto"/>
              </w:rPr>
            </w:pPr>
            <w:r>
              <w:rPr>
                <w:rFonts w:ascii="Arial" w:cs="Arial" w:eastAsia="Arial" w:hAnsi="Arial"/>
                <w:sz w:val="18"/>
                <w:szCs w:val="18"/>
                <w:color w:val="auto"/>
                <w:w w:val="92"/>
              </w:rPr>
              <w:t>Level 2</w:t>
            </w:r>
          </w:p>
        </w:tc>
        <w:tc>
          <w:tcPr>
            <w:tcW w:w="280" w:type="dxa"/>
            <w:vAlign w:val="bottom"/>
            <w:vMerge w:val="restart"/>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9</w:t>
            </w:r>
          </w:p>
        </w:tc>
        <w:tc>
          <w:tcPr>
            <w:tcW w:w="28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w:t>
            </w:r>
          </w:p>
        </w:tc>
        <w:tc>
          <w:tcPr>
            <w:tcW w:w="13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180" w:type="dxa"/>
            <w:vAlign w:val="bottom"/>
            <w:gridSpan w:val="2"/>
          </w:tcPr>
          <w:p>
            <w:pPr>
              <w:ind w:left="180"/>
              <w:spacing w:after="0"/>
              <w:rPr>
                <w:sz w:val="20"/>
                <w:szCs w:val="20"/>
                <w:color w:val="auto"/>
              </w:rPr>
            </w:pPr>
            <w:r>
              <w:rPr>
                <w:rFonts w:ascii="Arial" w:cs="Arial" w:eastAsia="Arial" w:hAnsi="Arial"/>
                <w:sz w:val="18"/>
                <w:szCs w:val="18"/>
                <w:color w:val="auto"/>
              </w:rPr>
              <w:t>designated as fair value hedge</w:t>
            </w:r>
          </w:p>
        </w:tc>
        <w:tc>
          <w:tcPr>
            <w:tcW w:w="3380" w:type="dxa"/>
            <w:vAlign w:val="bottom"/>
            <w:vMerge w:val="continue"/>
          </w:tcPr>
          <w:p>
            <w:pPr>
              <w:spacing w:after="0"/>
              <w:rPr>
                <w:sz w:val="20"/>
                <w:szCs w:val="20"/>
                <w:color w:val="auto"/>
              </w:rPr>
            </w:pPr>
          </w:p>
        </w:tc>
        <w:tc>
          <w:tcPr>
            <w:tcW w:w="1460" w:type="dxa"/>
            <w:vAlign w:val="bottom"/>
            <w:gridSpan w:val="2"/>
            <w:vMerge w:val="continue"/>
          </w:tcPr>
          <w:p>
            <w:pPr>
              <w:spacing w:after="0"/>
              <w:rPr>
                <w:sz w:val="20"/>
                <w:szCs w:val="20"/>
                <w:color w:val="auto"/>
              </w:rPr>
            </w:pPr>
          </w:p>
        </w:tc>
        <w:tc>
          <w:tcPr>
            <w:tcW w:w="280" w:type="dxa"/>
            <w:vAlign w:val="bottom"/>
            <w:vMerge w:val="continue"/>
          </w:tcPr>
          <w:p>
            <w:pPr>
              <w:spacing w:after="0"/>
              <w:rPr>
                <w:sz w:val="20"/>
                <w:szCs w:val="20"/>
                <w:color w:val="auto"/>
              </w:rPr>
            </w:pPr>
          </w:p>
        </w:tc>
        <w:tc>
          <w:tcPr>
            <w:tcW w:w="1240" w:type="dxa"/>
            <w:vAlign w:val="bottom"/>
            <w:vMerge w:val="continue"/>
          </w:tcPr>
          <w:p>
            <w:pPr>
              <w:spacing w:after="0"/>
              <w:rPr>
                <w:sz w:val="20"/>
                <w:szCs w:val="20"/>
                <w:color w:val="auto"/>
              </w:rPr>
            </w:pPr>
          </w:p>
        </w:tc>
        <w:tc>
          <w:tcPr>
            <w:tcW w:w="280" w:type="dxa"/>
            <w:vAlign w:val="bottom"/>
            <w:gridSpan w:val="2"/>
            <w:vMerge w:val="continue"/>
          </w:tcPr>
          <w:p>
            <w:pPr>
              <w:spacing w:after="0"/>
              <w:rPr>
                <w:sz w:val="20"/>
                <w:szCs w:val="20"/>
                <w:color w:val="auto"/>
              </w:rPr>
            </w:pPr>
          </w:p>
        </w:tc>
        <w:tc>
          <w:tcPr>
            <w:tcW w:w="13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20" w:type="dxa"/>
            <w:vAlign w:val="bottom"/>
            <w:shd w:val="clear" w:color="auto" w:fill="CCEEFF"/>
          </w:tcPr>
          <w:p>
            <w:pPr>
              <w:spacing w:after="0"/>
              <w:rPr>
                <w:sz w:val="15"/>
                <w:szCs w:val="15"/>
                <w:color w:val="auto"/>
              </w:rPr>
            </w:pPr>
          </w:p>
        </w:tc>
        <w:tc>
          <w:tcPr>
            <w:tcW w:w="3180" w:type="dxa"/>
            <w:vAlign w:val="bottom"/>
            <w:gridSpan w:val="2"/>
            <w:shd w:val="clear" w:color="auto" w:fill="CCEEFF"/>
          </w:tcPr>
          <w:p>
            <w:pPr>
              <w:ind w:left="100"/>
              <w:spacing w:after="0" w:line="182" w:lineRule="exact"/>
              <w:rPr>
                <w:sz w:val="20"/>
                <w:szCs w:val="20"/>
                <w:color w:val="auto"/>
              </w:rPr>
            </w:pPr>
            <w:r>
              <w:rPr>
                <w:rFonts w:ascii="Arial" w:cs="Arial" w:eastAsia="Arial" w:hAnsi="Arial"/>
                <w:sz w:val="18"/>
                <w:szCs w:val="18"/>
                <w:color w:val="auto"/>
                <w:w w:val="88"/>
              </w:rPr>
              <w:t>Forward exchange contracts designated as</w:t>
            </w:r>
          </w:p>
        </w:tc>
        <w:tc>
          <w:tcPr>
            <w:tcW w:w="338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Accounts payable and accrued expenses</w:t>
            </w:r>
          </w:p>
        </w:tc>
        <w:tc>
          <w:tcPr>
            <w:tcW w:w="1460" w:type="dxa"/>
            <w:vAlign w:val="bottom"/>
            <w:gridSpan w:val="2"/>
            <w:vMerge w:val="restart"/>
            <w:shd w:val="clear" w:color="auto" w:fill="CCEEFF"/>
          </w:tcPr>
          <w:p>
            <w:pPr>
              <w:jc w:val="center"/>
              <w:ind w:left="30"/>
              <w:spacing w:after="0"/>
              <w:rPr>
                <w:sz w:val="20"/>
                <w:szCs w:val="20"/>
                <w:color w:val="auto"/>
              </w:rPr>
            </w:pPr>
            <w:r>
              <w:rPr>
                <w:rFonts w:ascii="Arial" w:cs="Arial" w:eastAsia="Arial" w:hAnsi="Arial"/>
                <w:sz w:val="18"/>
                <w:szCs w:val="18"/>
                <w:color w:val="auto"/>
                <w:w w:val="92"/>
              </w:rPr>
              <w:t>Level 2</w:t>
            </w:r>
          </w:p>
        </w:tc>
        <w:tc>
          <w:tcPr>
            <w:tcW w:w="280" w:type="dxa"/>
            <w:vAlign w:val="bottom"/>
            <w:shd w:val="clear" w:color="auto" w:fill="CCEEFF"/>
          </w:tcPr>
          <w:p>
            <w:pPr>
              <w:spacing w:after="0"/>
              <w:rPr>
                <w:sz w:val="15"/>
                <w:szCs w:val="15"/>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1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cash flow hedges</w:t>
            </w:r>
          </w:p>
        </w:tc>
        <w:tc>
          <w:tcPr>
            <w:tcW w:w="3380" w:type="dxa"/>
            <w:vAlign w:val="bottom"/>
            <w:vMerge w:val="continue"/>
            <w:shd w:val="clear" w:color="auto" w:fill="CCEEFF"/>
          </w:tcPr>
          <w:p>
            <w:pPr>
              <w:spacing w:after="0"/>
              <w:rPr>
                <w:sz w:val="19"/>
                <w:szCs w:val="19"/>
                <w:color w:val="auto"/>
              </w:rPr>
            </w:pPr>
          </w:p>
        </w:tc>
        <w:tc>
          <w:tcPr>
            <w:tcW w:w="1460" w:type="dxa"/>
            <w:vAlign w:val="bottom"/>
            <w:gridSpan w:val="2"/>
            <w:vMerge w:val="continue"/>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180" w:type="dxa"/>
            <w:vAlign w:val="bottom"/>
            <w:gridSpan w:val="2"/>
          </w:tcPr>
          <w:p>
            <w:pPr>
              <w:ind w:left="100"/>
              <w:spacing w:after="0" w:line="189" w:lineRule="exact"/>
              <w:rPr>
                <w:sz w:val="20"/>
                <w:szCs w:val="20"/>
                <w:color w:val="auto"/>
              </w:rPr>
            </w:pPr>
            <w:r>
              <w:rPr>
                <w:rFonts w:ascii="Arial" w:cs="Arial" w:eastAsia="Arial" w:hAnsi="Arial"/>
                <w:sz w:val="18"/>
                <w:szCs w:val="18"/>
                <w:color w:val="auto"/>
                <w:w w:val="88"/>
              </w:rPr>
              <w:t>Forward exchange contracts designated as</w:t>
            </w:r>
          </w:p>
        </w:tc>
        <w:tc>
          <w:tcPr>
            <w:tcW w:w="33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80" w:type="dxa"/>
            <w:vAlign w:val="bottom"/>
            <w:gridSpan w:val="2"/>
          </w:tcPr>
          <w:p>
            <w:pPr>
              <w:ind w:left="180"/>
              <w:spacing w:after="0"/>
              <w:rPr>
                <w:sz w:val="20"/>
                <w:szCs w:val="20"/>
                <w:color w:val="auto"/>
              </w:rPr>
            </w:pPr>
            <w:r>
              <w:rPr>
                <w:rFonts w:ascii="Arial" w:cs="Arial" w:eastAsia="Arial" w:hAnsi="Arial"/>
                <w:sz w:val="18"/>
                <w:szCs w:val="18"/>
                <w:color w:val="auto"/>
              </w:rPr>
              <w:t>cash flow hedges</w:t>
            </w:r>
          </w:p>
        </w:tc>
        <w:tc>
          <w:tcPr>
            <w:tcW w:w="3380" w:type="dxa"/>
            <w:vAlign w:val="bottom"/>
          </w:tcPr>
          <w:p>
            <w:pPr>
              <w:ind w:left="20"/>
              <w:spacing w:after="0"/>
              <w:rPr>
                <w:sz w:val="20"/>
                <w:szCs w:val="20"/>
                <w:color w:val="auto"/>
              </w:rPr>
            </w:pPr>
            <w:r>
              <w:rPr>
                <w:rFonts w:ascii="Arial" w:cs="Arial" w:eastAsia="Arial" w:hAnsi="Arial"/>
                <w:sz w:val="18"/>
                <w:szCs w:val="18"/>
                <w:color w:val="auto"/>
              </w:rPr>
              <w:t>Other long-term liabilities</w:t>
            </w:r>
          </w:p>
        </w:tc>
        <w:tc>
          <w:tcPr>
            <w:tcW w:w="1460" w:type="dxa"/>
            <w:vAlign w:val="bottom"/>
            <w:gridSpan w:val="2"/>
          </w:tcPr>
          <w:p>
            <w:pPr>
              <w:jc w:val="center"/>
              <w:ind w:left="30"/>
              <w:spacing w:after="0"/>
              <w:rPr>
                <w:sz w:val="20"/>
                <w:szCs w:val="20"/>
                <w:color w:val="auto"/>
              </w:rPr>
            </w:pPr>
            <w:r>
              <w:rPr>
                <w:rFonts w:ascii="Arial" w:cs="Arial" w:eastAsia="Arial" w:hAnsi="Arial"/>
                <w:sz w:val="18"/>
                <w:szCs w:val="18"/>
                <w:color w:val="auto"/>
                <w:w w:val="92"/>
              </w:rPr>
              <w:t>Level 2</w:t>
            </w:r>
          </w:p>
        </w:tc>
        <w:tc>
          <w:tcPr>
            <w:tcW w:w="2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3180" w:type="dxa"/>
            <w:vAlign w:val="bottom"/>
            <w:gridSpan w:val="2"/>
            <w:shd w:val="clear" w:color="auto" w:fill="CCEEFF"/>
          </w:tcPr>
          <w:p>
            <w:pPr>
              <w:ind w:left="100"/>
              <w:spacing w:after="0" w:line="176" w:lineRule="exact"/>
              <w:rPr>
                <w:sz w:val="20"/>
                <w:szCs w:val="20"/>
                <w:color w:val="auto"/>
              </w:rPr>
            </w:pPr>
            <w:r>
              <w:rPr>
                <w:rFonts w:ascii="Arial" w:cs="Arial" w:eastAsia="Arial" w:hAnsi="Arial"/>
                <w:sz w:val="18"/>
                <w:szCs w:val="18"/>
                <w:color w:val="auto"/>
              </w:rPr>
              <w:t>Cross-currency rate swap contracts</w:t>
            </w:r>
          </w:p>
        </w:tc>
        <w:tc>
          <w:tcPr>
            <w:tcW w:w="338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Other long-term liabilities</w:t>
            </w:r>
          </w:p>
        </w:tc>
        <w:tc>
          <w:tcPr>
            <w:tcW w:w="1460" w:type="dxa"/>
            <w:vAlign w:val="bottom"/>
            <w:gridSpan w:val="2"/>
            <w:vMerge w:val="restart"/>
            <w:shd w:val="clear" w:color="auto" w:fill="CCEEFF"/>
          </w:tcPr>
          <w:p>
            <w:pPr>
              <w:jc w:val="center"/>
              <w:ind w:left="30"/>
              <w:spacing w:after="0"/>
              <w:rPr>
                <w:sz w:val="20"/>
                <w:szCs w:val="20"/>
                <w:color w:val="auto"/>
              </w:rPr>
            </w:pPr>
            <w:r>
              <w:rPr>
                <w:rFonts w:ascii="Arial" w:cs="Arial" w:eastAsia="Arial" w:hAnsi="Arial"/>
                <w:sz w:val="18"/>
                <w:szCs w:val="18"/>
                <w:color w:val="auto"/>
                <w:w w:val="92"/>
              </w:rPr>
              <w:t>Level 2</w:t>
            </w:r>
          </w:p>
        </w:tc>
        <w:tc>
          <w:tcPr>
            <w:tcW w:w="280" w:type="dxa"/>
            <w:vAlign w:val="bottom"/>
            <w:shd w:val="clear" w:color="auto" w:fill="CCEEFF"/>
          </w:tcPr>
          <w:p>
            <w:pPr>
              <w:spacing w:after="0"/>
              <w:rPr>
                <w:sz w:val="15"/>
                <w:szCs w:val="15"/>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31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designated as net investment hedges</w:t>
            </w:r>
          </w:p>
        </w:tc>
        <w:tc>
          <w:tcPr>
            <w:tcW w:w="3380" w:type="dxa"/>
            <w:vAlign w:val="bottom"/>
            <w:vMerge w:val="continue"/>
            <w:shd w:val="clear" w:color="auto" w:fill="CCEEFF"/>
          </w:tcPr>
          <w:p>
            <w:pPr>
              <w:spacing w:after="0"/>
              <w:rPr>
                <w:sz w:val="21"/>
                <w:szCs w:val="21"/>
                <w:color w:val="auto"/>
              </w:rPr>
            </w:pPr>
          </w:p>
        </w:tc>
        <w:tc>
          <w:tcPr>
            <w:tcW w:w="1460" w:type="dxa"/>
            <w:vAlign w:val="bottom"/>
            <w:gridSpan w:val="2"/>
            <w:vMerge w:val="continue"/>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4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6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80" w:type="dxa"/>
            <w:vAlign w:val="bottom"/>
            <w:gridSpan w:val="2"/>
          </w:tcPr>
          <w:p>
            <w:pPr>
              <w:ind w:left="100"/>
              <w:spacing w:after="0"/>
              <w:rPr>
                <w:sz w:val="20"/>
                <w:szCs w:val="20"/>
                <w:color w:val="auto"/>
              </w:rPr>
            </w:pPr>
            <w:r>
              <w:rPr>
                <w:rFonts w:ascii="Arial" w:cs="Arial" w:eastAsia="Arial" w:hAnsi="Arial"/>
                <w:sz w:val="18"/>
                <w:szCs w:val="18"/>
                <w:color w:val="auto"/>
              </w:rPr>
              <w:t>Contingent consideration</w:t>
            </w:r>
          </w:p>
        </w:tc>
        <w:tc>
          <w:tcPr>
            <w:tcW w:w="3380" w:type="dxa"/>
            <w:vAlign w:val="bottom"/>
          </w:tcPr>
          <w:p>
            <w:pPr>
              <w:ind w:left="20"/>
              <w:spacing w:after="0"/>
              <w:rPr>
                <w:sz w:val="20"/>
                <w:szCs w:val="20"/>
                <w:color w:val="auto"/>
              </w:rPr>
            </w:pPr>
            <w:r>
              <w:rPr>
                <w:rFonts w:ascii="Arial" w:cs="Arial" w:eastAsia="Arial" w:hAnsi="Arial"/>
                <w:sz w:val="18"/>
                <w:szCs w:val="18"/>
                <w:color w:val="auto"/>
              </w:rPr>
              <w:t>Accounts payable and accrued expenses</w:t>
            </w:r>
          </w:p>
        </w:tc>
        <w:tc>
          <w:tcPr>
            <w:tcW w:w="1460" w:type="dxa"/>
            <w:vAlign w:val="bottom"/>
            <w:gridSpan w:val="2"/>
          </w:tcPr>
          <w:p>
            <w:pPr>
              <w:jc w:val="center"/>
              <w:ind w:left="30"/>
              <w:spacing w:after="0"/>
              <w:rPr>
                <w:sz w:val="20"/>
                <w:szCs w:val="20"/>
                <w:color w:val="auto"/>
              </w:rPr>
            </w:pPr>
            <w:r>
              <w:rPr>
                <w:rFonts w:ascii="Arial" w:cs="Arial" w:eastAsia="Arial" w:hAnsi="Arial"/>
                <w:sz w:val="18"/>
                <w:szCs w:val="18"/>
                <w:color w:val="auto"/>
                <w:w w:val="92"/>
              </w:rPr>
              <w:t>Level 3</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1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Contingent consideration</w:t>
            </w:r>
          </w:p>
        </w:tc>
        <w:tc>
          <w:tcPr>
            <w:tcW w:w="3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long-term liabilities</w:t>
            </w:r>
          </w:p>
        </w:tc>
        <w:tc>
          <w:tcPr>
            <w:tcW w:w="146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2"/>
              </w:rPr>
              <w:t>Level 3</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80" w:type="dxa"/>
            <w:vAlign w:val="bottom"/>
            <w:gridSpan w:val="2"/>
          </w:tcPr>
          <w:p>
            <w:pPr>
              <w:ind w:left="100"/>
              <w:spacing w:after="0"/>
              <w:rPr>
                <w:sz w:val="20"/>
                <w:szCs w:val="20"/>
                <w:color w:val="auto"/>
              </w:rPr>
            </w:pPr>
            <w:r>
              <w:rPr>
                <w:rFonts w:ascii="Arial" w:cs="Arial" w:eastAsia="Arial" w:hAnsi="Arial"/>
                <w:sz w:val="18"/>
                <w:szCs w:val="18"/>
                <w:color w:val="auto"/>
              </w:rPr>
              <w:t>Contingent debt guarantee</w:t>
            </w:r>
          </w:p>
        </w:tc>
        <w:tc>
          <w:tcPr>
            <w:tcW w:w="3380" w:type="dxa"/>
            <w:vAlign w:val="bottom"/>
          </w:tcPr>
          <w:p>
            <w:pPr>
              <w:ind w:left="20"/>
              <w:spacing w:after="0"/>
              <w:rPr>
                <w:sz w:val="20"/>
                <w:szCs w:val="20"/>
                <w:color w:val="auto"/>
              </w:rPr>
            </w:pPr>
            <w:r>
              <w:rPr>
                <w:rFonts w:ascii="Arial" w:cs="Arial" w:eastAsia="Arial" w:hAnsi="Arial"/>
                <w:sz w:val="18"/>
                <w:szCs w:val="18"/>
                <w:color w:val="auto"/>
              </w:rPr>
              <w:t>Other long-term liabilities</w:t>
            </w:r>
          </w:p>
        </w:tc>
        <w:tc>
          <w:tcPr>
            <w:tcW w:w="1460" w:type="dxa"/>
            <w:vAlign w:val="bottom"/>
            <w:gridSpan w:val="2"/>
          </w:tcPr>
          <w:p>
            <w:pPr>
              <w:jc w:val="center"/>
              <w:ind w:left="30"/>
              <w:spacing w:after="0"/>
              <w:rPr>
                <w:sz w:val="20"/>
                <w:szCs w:val="20"/>
                <w:color w:val="auto"/>
              </w:rPr>
            </w:pPr>
            <w:r>
              <w:rPr>
                <w:rFonts w:ascii="Arial" w:cs="Arial" w:eastAsia="Arial" w:hAnsi="Arial"/>
                <w:sz w:val="18"/>
                <w:szCs w:val="18"/>
                <w:color w:val="auto"/>
                <w:w w:val="92"/>
              </w:rPr>
              <w:t>Level 3</w:t>
            </w:r>
          </w:p>
        </w:tc>
        <w:tc>
          <w:tcPr>
            <w:tcW w:w="2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bl>
    <w:p>
      <w:pPr>
        <w:spacing w:after="0" w:line="214" w:lineRule="exact"/>
        <w:rPr>
          <w:sz w:val="20"/>
          <w:szCs w:val="20"/>
          <w:color w:val="auto"/>
        </w:rPr>
      </w:pPr>
    </w:p>
    <w:p>
      <w:pPr>
        <w:jc w:val="both"/>
        <w:ind w:right="60"/>
        <w:spacing w:after="0" w:line="286" w:lineRule="auto"/>
        <w:rPr>
          <w:sz w:val="20"/>
          <w:szCs w:val="20"/>
          <w:color w:val="auto"/>
        </w:rPr>
      </w:pPr>
      <w:r>
        <w:rPr>
          <w:rFonts w:ascii="Arial" w:cs="Arial" w:eastAsia="Arial" w:hAnsi="Arial"/>
          <w:sz w:val="16"/>
          <w:szCs w:val="16"/>
          <w:color w:val="auto"/>
        </w:rPr>
        <w:t>The Company’s senior notes are recorded at amortized cost but measured at fair value for disclosure purposes. The estimated fair value of senior notes was based on matrix pricing which considers readily observable inputs of comparable securities (Level 2 of the fair value hierarchy). The carrying value of the Company’s foreign lines of credit, term loan credit agreement, commercial paper notes and revolving credit facility borrowings approximates fair value as these instruments have variable interest rates and the Company has not experienced any change to its credit ratings (Level 2 of the fair value hierarchy).</w:t>
      </w:r>
    </w:p>
    <w:p>
      <w:pPr>
        <w:spacing w:after="0" w:line="1" w:lineRule="exact"/>
        <w:rPr>
          <w:sz w:val="20"/>
          <w:szCs w:val="20"/>
          <w:color w:val="auto"/>
        </w:rPr>
      </w:pPr>
    </w:p>
    <w:p>
      <w:pPr>
        <w:ind w:right="280"/>
        <w:spacing w:after="0" w:line="323" w:lineRule="auto"/>
        <w:rPr>
          <w:sz w:val="20"/>
          <w:szCs w:val="20"/>
          <w:color w:val="auto"/>
        </w:rPr>
      </w:pPr>
      <w:r>
        <w:rPr>
          <w:rFonts w:ascii="Arial" w:cs="Arial" w:eastAsia="Arial" w:hAnsi="Arial"/>
          <w:sz w:val="16"/>
          <w:szCs w:val="16"/>
          <w:color w:val="auto"/>
        </w:rPr>
        <w:t>The estimated fair value of total debt, excluding finance leases and other financing obligations, was $21.1 billion and $19.2 billion at June 30, 2023 and December 31, 2022, respectively, and the carrying value was $22.4 billion and $20.6 billion at June 30, 2023 and December 31, 2022, respectively.</w:t>
      </w:r>
    </w:p>
    <w:p>
      <w:pPr>
        <w:spacing w:after="0" w:line="84"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Company maintains liabilities for its obligations to perform over the term of its debt guarantee arrangements with the Lending Joint Ventures (see Note 6), which are reported within other long-term liabilities in the consolidated balance sheets. In April 2022, the Lending Joint Ventures amended their respective term loans and revolving credit facilities, increasing aggregate borrowing capacity by $75 million and extending the maturity to April 2027. The Company elected to guarantee this incremental indebtedness, resulting in aggregate guarantees of $520 million. The Company is entitled to receive a defined fee in exchange for its incremental guarantee of this indebtedness. The Company has not made any payments under the guarantees, nor has it been called upon to do so, and does not anticipate that the Lending Joint Ventures will fail to fulfill their debt obligations.</w:t>
      </w: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The non-contingent component of the Company’s debt guarantee arrangements is recorded at amortized cost, but measured at fair value for disclosure purposes. The carrying value of the Company’s non-contingent liability of $36 million and $40 million approximates the fair value at June 30, 2023 and December 31, 2022, respectively (Level 3 of the fair value hierarchy). Such guarantees will be amortized in future periods over the contractual term of the debt. The contingent component of the Company’s debt guarantee arrangements represents the current expected credit losses to which the Company is exposed. The amount of the liability is estimated based on certain financial metrics of the Lending Joint Ventures and historical industry data, which is used to develop assumptions of the likelihood the guaranteed parties will default and the level of credit losses in the event a default occurs. The Company recognized $3 million for each of the three months ended June 30, 2023 and 2022, and $5 million and $6 million during the six months ended June 30,</w:t>
      </w:r>
    </w:p>
    <w:p>
      <w:pPr>
        <w:spacing w:after="0" w:line="2" w:lineRule="exact"/>
        <w:rPr>
          <w:sz w:val="20"/>
          <w:szCs w:val="20"/>
          <w:color w:val="auto"/>
        </w:rPr>
      </w:pPr>
    </w:p>
    <w:p>
      <w:pPr>
        <w:ind w:right="340"/>
        <w:spacing w:after="0" w:line="290" w:lineRule="auto"/>
        <w:rPr>
          <w:sz w:val="20"/>
          <w:szCs w:val="20"/>
          <w:color w:val="auto"/>
        </w:rPr>
      </w:pPr>
      <w:r>
        <w:rPr>
          <w:rFonts w:ascii="Arial" w:cs="Arial" w:eastAsia="Arial" w:hAnsi="Arial"/>
          <w:sz w:val="17"/>
          <w:szCs w:val="17"/>
          <w:color w:val="auto"/>
        </w:rPr>
        <w:t>2023 and 2022, respectively, within other expense, net in its consolidated statements of income related to its release from risk under the non-contingent guarantees as well as a change in the provision of estimated credit losses associated with the indebtedness of the joint ventures.</w:t>
      </w:r>
    </w:p>
    <w:p>
      <w:pPr>
        <w:spacing w:after="0" w:line="107"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Certain of the Company’s non-financial assets are measured at fair value on a non-recurring basis, including property and equipment, lease right-of-use (“ROU”) assets, equity securities without a readily determinable fair value, goodwill and other intangible assets, and are subject to fair value adjustment in certain circumstances.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00" w:type="dxa"/>
            <w:vAlign w:val="bottom"/>
            <w:gridSpan w:val="3"/>
          </w:tcPr>
          <w:p>
            <w:pPr>
              <w:spacing w:after="0"/>
              <w:rPr>
                <w:sz w:val="20"/>
                <w:szCs w:val="20"/>
                <w:color w:val="auto"/>
              </w:rPr>
            </w:pPr>
            <w:r>
              <w:rPr>
                <w:rFonts w:ascii="Arial" w:cs="Arial" w:eastAsia="Arial" w:hAnsi="Arial"/>
                <w:sz w:val="18"/>
                <w:szCs w:val="18"/>
                <w:b w:val="1"/>
                <w:bCs w:val="1"/>
                <w:color w:val="auto"/>
              </w:rPr>
              <w:t>8. Accounts Payable and Accrued Expenses</w:t>
            </w:r>
          </w:p>
        </w:tc>
        <w:tc>
          <w:tcPr>
            <w:tcW w:w="19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5200" w:type="dxa"/>
            <w:vAlign w:val="bottom"/>
            <w:gridSpan w:val="3"/>
          </w:tcPr>
          <w:p>
            <w:pPr>
              <w:spacing w:after="0"/>
              <w:rPr>
                <w:sz w:val="20"/>
                <w:szCs w:val="20"/>
                <w:color w:val="auto"/>
              </w:rPr>
            </w:pPr>
            <w:r>
              <w:rPr>
                <w:rFonts w:ascii="Arial" w:cs="Arial" w:eastAsia="Arial" w:hAnsi="Arial"/>
                <w:sz w:val="18"/>
                <w:szCs w:val="18"/>
                <w:color w:val="auto"/>
                <w:w w:val="96"/>
              </w:rPr>
              <w:t>Accounts payable and accrued expenses consisted of the following:</w:t>
            </w:r>
          </w:p>
        </w:tc>
        <w:tc>
          <w:tcPr>
            <w:tcW w:w="1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5180" w:type="dxa"/>
            <w:vAlign w:val="bottom"/>
            <w:gridSpan w:val="2"/>
          </w:tcPr>
          <w:p>
            <w:pPr>
              <w:spacing w:after="0"/>
              <w:rPr>
                <w:sz w:val="20"/>
                <w:szCs w:val="20"/>
                <w:color w:val="auto"/>
              </w:rPr>
            </w:pPr>
            <w:r>
              <w:rPr>
                <w:rFonts w:ascii="Arial" w:cs="Arial" w:eastAsia="Arial" w:hAnsi="Arial"/>
                <w:sz w:val="16"/>
                <w:szCs w:val="16"/>
                <w:b w:val="1"/>
                <w:bCs w:val="1"/>
                <w:color w:val="auto"/>
              </w:rPr>
              <w:t>(In millions)</w:t>
            </w:r>
          </w:p>
        </w:tc>
        <w:tc>
          <w:tcPr>
            <w:tcW w:w="1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60" w:type="dxa"/>
            <w:vAlign w:val="bottom"/>
          </w:tcPr>
          <w:p>
            <w:pPr>
              <w:jc w:val="right"/>
              <w:ind w:right="350"/>
              <w:spacing w:after="0"/>
              <w:rPr>
                <w:sz w:val="20"/>
                <w:szCs w:val="20"/>
                <w:color w:val="auto"/>
              </w:rPr>
            </w:pPr>
            <w:r>
              <w:rPr>
                <w:rFonts w:ascii="Arial" w:cs="Arial" w:eastAsia="Arial" w:hAnsi="Arial"/>
                <w:sz w:val="18"/>
                <w:szCs w:val="18"/>
                <w:b w:val="1"/>
                <w:bCs w:val="1"/>
                <w:color w:val="auto"/>
              </w:rPr>
              <w:t>June 30, 2023</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80" w:type="dxa"/>
            <w:vAlign w:val="bottom"/>
          </w:tcPr>
          <w:p>
            <w:pPr>
              <w:jc w:val="right"/>
              <w:ind w:right="170"/>
              <w:spacing w:after="0"/>
              <w:rPr>
                <w:sz w:val="20"/>
                <w:szCs w:val="20"/>
                <w:color w:val="auto"/>
              </w:rPr>
            </w:pPr>
            <w:r>
              <w:rPr>
                <w:rFonts w:ascii="Arial" w:cs="Arial" w:eastAsia="Arial" w:hAnsi="Arial"/>
                <w:sz w:val="18"/>
                <w:szCs w:val="18"/>
                <w:b w:val="1"/>
                <w:bCs w:val="1"/>
                <w:color w:val="auto"/>
                <w:w w:val="92"/>
              </w:rPr>
              <w:t>December 31, 2022</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4320" w:type="dxa"/>
            <w:vAlign w:val="bottom"/>
            <w:tcBorders>
              <w:bottom w:val="single" w:sz="8" w:color="CCEEFF"/>
            </w:tcBorders>
          </w:tcPr>
          <w:p>
            <w:pPr>
              <w:spacing w:after="0" w:line="20" w:lineRule="exact"/>
              <w:rPr>
                <w:sz w:val="1"/>
                <w:szCs w:val="1"/>
                <w:color w:val="auto"/>
              </w:rPr>
            </w:pPr>
          </w:p>
        </w:tc>
        <w:tc>
          <w:tcPr>
            <w:tcW w:w="19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Trade accounts payable</w:t>
            </w:r>
          </w:p>
        </w:tc>
        <w:tc>
          <w:tcPr>
            <w:tcW w:w="19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Client deposits</w:t>
            </w:r>
          </w:p>
        </w:tc>
        <w:tc>
          <w:tcPr>
            <w:tcW w:w="19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898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871</w:t>
            </w:r>
          </w:p>
        </w:tc>
        <w:tc>
          <w:tcPr>
            <w:tcW w:w="0" w:type="dxa"/>
            <w:vAlign w:val="bottom"/>
          </w:tcPr>
          <w:p>
            <w:pPr>
              <w:spacing w:after="0"/>
              <w:rPr>
                <w:sz w:val="1"/>
                <w:szCs w:val="1"/>
                <w:color w:val="auto"/>
              </w:rPr>
            </w:pPr>
          </w:p>
        </w:tc>
      </w:tr>
      <w:tr>
        <w:trPr>
          <w:trHeight w:val="236"/>
        </w:trPr>
        <w:tc>
          <w:tcPr>
            <w:tcW w:w="20" w:type="dxa"/>
            <w:vAlign w:val="bottom"/>
            <w:shd w:val="clear" w:color="auto" w:fill="CCEEFF"/>
          </w:tcPr>
          <w:p>
            <w:pPr>
              <w:spacing w:after="0"/>
              <w:rPr>
                <w:sz w:val="20"/>
                <w:szCs w:val="20"/>
                <w:color w:val="auto"/>
              </w:rPr>
            </w:pPr>
          </w:p>
        </w:tc>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compensation and benefits</w:t>
            </w:r>
          </w:p>
        </w:tc>
        <w:tc>
          <w:tcPr>
            <w:tcW w:w="19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Accrued taxes</w:t>
            </w:r>
          </w:p>
        </w:tc>
        <w:tc>
          <w:tcPr>
            <w:tcW w:w="19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432</w:t>
            </w: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interest</w:t>
            </w:r>
          </w:p>
        </w:tc>
        <w:tc>
          <w:tcPr>
            <w:tcW w:w="19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Accrued payment network fees</w:t>
            </w:r>
          </w:p>
        </w:tc>
        <w:tc>
          <w:tcPr>
            <w:tcW w:w="19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216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lease liabilities</w:t>
            </w:r>
          </w:p>
        </w:tc>
        <w:tc>
          <w:tcPr>
            <w:tcW w:w="19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Accrued professional fees</w:t>
            </w:r>
          </w:p>
        </w:tc>
        <w:tc>
          <w:tcPr>
            <w:tcW w:w="19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116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36"/>
        </w:trPr>
        <w:tc>
          <w:tcPr>
            <w:tcW w:w="20" w:type="dxa"/>
            <w:vAlign w:val="bottom"/>
            <w:shd w:val="clear" w:color="auto" w:fill="CCEEFF"/>
          </w:tcPr>
          <w:p>
            <w:pPr>
              <w:spacing w:after="0"/>
              <w:rPr>
                <w:sz w:val="20"/>
                <w:szCs w:val="20"/>
                <w:color w:val="auto"/>
              </w:rPr>
            </w:pPr>
          </w:p>
        </w:tc>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accrued expenses</w:t>
            </w:r>
          </w:p>
        </w:tc>
        <w:tc>
          <w:tcPr>
            <w:tcW w:w="198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974</w:t>
            </w:r>
          </w:p>
        </w:tc>
        <w:tc>
          <w:tcPr>
            <w:tcW w:w="12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80" w:type="dxa"/>
            <w:vAlign w:val="bottom"/>
            <w:gridSpan w:val="2"/>
          </w:tcPr>
          <w:p>
            <w:pPr>
              <w:ind w:left="120"/>
              <w:spacing w:after="0"/>
              <w:rPr>
                <w:sz w:val="20"/>
                <w:szCs w:val="20"/>
                <w:color w:val="auto"/>
              </w:rPr>
            </w:pPr>
            <w:r>
              <w:rPr>
                <w:rFonts w:ascii="Arial" w:cs="Arial" w:eastAsia="Arial" w:hAnsi="Arial"/>
                <w:sz w:val="18"/>
                <w:szCs w:val="18"/>
                <w:color w:val="auto"/>
              </w:rPr>
              <w:t>Total</w:t>
            </w:r>
          </w:p>
        </w:tc>
        <w:tc>
          <w:tcPr>
            <w:tcW w:w="198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3,359</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980" w:type="dxa"/>
            <w:vAlign w:val="bottom"/>
            <w:vMerge w:val="restart"/>
          </w:tcPr>
          <w:p>
            <w:pPr>
              <w:jc w:val="right"/>
              <w:ind w:right="1370"/>
              <w:spacing w:after="0"/>
              <w:rPr>
                <w:sz w:val="20"/>
                <w:szCs w:val="20"/>
                <w:color w:val="auto"/>
              </w:rPr>
            </w:pPr>
            <w:r>
              <w:rPr>
                <w:rFonts w:ascii="Arial" w:cs="Arial" w:eastAsia="Arial" w:hAnsi="Arial"/>
                <w:sz w:val="18"/>
                <w:szCs w:val="18"/>
                <w:color w:val="auto"/>
              </w:rPr>
              <w:t>16</w:t>
            </w:r>
          </w:p>
        </w:tc>
        <w:tc>
          <w:tcPr>
            <w:tcW w:w="3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58"/>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198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4320" w:type="dxa"/>
            <w:vAlign w:val="bottom"/>
            <w:tcBorders>
              <w:bottom w:val="single" w:sz="8" w:color="9A9A9A"/>
            </w:tcBorders>
          </w:tcPr>
          <w:p>
            <w:pPr>
              <w:spacing w:after="0"/>
              <w:rPr>
                <w:sz w:val="10"/>
                <w:szCs w:val="10"/>
                <w:color w:val="auto"/>
              </w:rPr>
            </w:pPr>
          </w:p>
        </w:tc>
        <w:tc>
          <w:tcPr>
            <w:tcW w:w="19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6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7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07"/>
        </w:trPr>
        <w:tc>
          <w:tcPr>
            <w:tcW w:w="6960" w:type="dxa"/>
            <w:vAlign w:val="bottom"/>
            <w:gridSpan w:val="4"/>
          </w:tcPr>
          <w:p>
            <w:pPr>
              <w:spacing w:after="0"/>
              <w:rPr>
                <w:sz w:val="20"/>
                <w:szCs w:val="20"/>
                <w:color w:val="auto"/>
              </w:rPr>
            </w:pPr>
            <w:r>
              <w:rPr>
                <w:rFonts w:ascii="Arial" w:cs="Arial" w:eastAsia="Arial" w:hAnsi="Arial"/>
                <w:sz w:val="18"/>
                <w:szCs w:val="18"/>
                <w:color w:val="0000FF"/>
              </w:rPr>
              <w:t>Table of Contents</w:t>
            </w:r>
          </w:p>
        </w:tc>
        <w:tc>
          <w:tcPr>
            <w:tcW w:w="3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80" w:type="dxa"/>
            <w:vAlign w:val="bottom"/>
          </w:tcPr>
          <w:p>
            <w:pPr>
              <w:spacing w:after="0"/>
              <w:rPr>
                <w:sz w:val="17"/>
                <w:szCs w:val="17"/>
                <w:color w:val="auto"/>
              </w:rPr>
            </w:pPr>
          </w:p>
        </w:tc>
      </w:tr>
      <w:tr>
        <w:trPr>
          <w:trHeight w:val="952"/>
        </w:trPr>
        <w:tc>
          <w:tcPr>
            <w:tcW w:w="1280" w:type="dxa"/>
            <w:vAlign w:val="bottom"/>
            <w:tcBorders>
              <w:top w:val="single" w:sz="8" w:color="0000FF"/>
            </w:tcBorders>
            <w:gridSpan w:val="3"/>
          </w:tcPr>
          <w:p>
            <w:pPr>
              <w:spacing w:after="0"/>
              <w:rPr>
                <w:sz w:val="20"/>
                <w:szCs w:val="20"/>
                <w:color w:val="auto"/>
              </w:rPr>
            </w:pPr>
            <w:r>
              <w:rPr>
                <w:rFonts w:ascii="Arial" w:cs="Arial" w:eastAsia="Arial" w:hAnsi="Arial"/>
                <w:sz w:val="18"/>
                <w:szCs w:val="18"/>
                <w:b w:val="1"/>
                <w:bCs w:val="1"/>
                <w:color w:val="auto"/>
              </w:rPr>
              <w:t>9. Debt</w:t>
            </w:r>
          </w:p>
        </w:tc>
        <w:tc>
          <w:tcPr>
            <w:tcW w:w="5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378"/>
        </w:trPr>
        <w:tc>
          <w:tcPr>
            <w:tcW w:w="6960" w:type="dxa"/>
            <w:vAlign w:val="bottom"/>
            <w:gridSpan w:val="4"/>
          </w:tcPr>
          <w:p>
            <w:pPr>
              <w:spacing w:after="0"/>
              <w:rPr>
                <w:sz w:val="20"/>
                <w:szCs w:val="20"/>
                <w:color w:val="auto"/>
              </w:rPr>
            </w:pPr>
            <w:r>
              <w:rPr>
                <w:rFonts w:ascii="Arial" w:cs="Arial" w:eastAsia="Arial" w:hAnsi="Arial"/>
                <w:sz w:val="18"/>
                <w:szCs w:val="18"/>
                <w:color w:val="auto"/>
              </w:rPr>
              <w:t>The Company’s debt consisted of the following:</w:t>
            </w:r>
          </w:p>
        </w:tc>
        <w:tc>
          <w:tcPr>
            <w:tcW w:w="3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392"/>
        </w:trPr>
        <w:tc>
          <w:tcPr>
            <w:tcW w:w="20" w:type="dxa"/>
            <w:vAlign w:val="bottom"/>
          </w:tcPr>
          <w:p>
            <w:pPr>
              <w:spacing w:after="0"/>
              <w:rPr>
                <w:sz w:val="24"/>
                <w:szCs w:val="24"/>
                <w:color w:val="auto"/>
              </w:rPr>
            </w:pPr>
          </w:p>
        </w:tc>
        <w:tc>
          <w:tcPr>
            <w:tcW w:w="6940" w:type="dxa"/>
            <w:vAlign w:val="bottom"/>
            <w:gridSpan w:val="3"/>
          </w:tcPr>
          <w:p>
            <w:pPr>
              <w:spacing w:after="0"/>
              <w:rPr>
                <w:sz w:val="20"/>
                <w:szCs w:val="20"/>
                <w:color w:val="auto"/>
              </w:rPr>
            </w:pPr>
            <w:r>
              <w:rPr>
                <w:rFonts w:ascii="Arial" w:cs="Arial" w:eastAsia="Arial" w:hAnsi="Arial"/>
                <w:sz w:val="16"/>
                <w:szCs w:val="16"/>
                <w:b w:val="1"/>
                <w:bCs w:val="1"/>
                <w:color w:val="auto"/>
              </w:rPr>
              <w:t>(In millions)</w:t>
            </w:r>
          </w:p>
        </w:tc>
        <w:tc>
          <w:tcPr>
            <w:tcW w:w="320" w:type="dxa"/>
            <w:vAlign w:val="bottom"/>
          </w:tcPr>
          <w:p>
            <w:pPr>
              <w:spacing w:after="0"/>
              <w:rPr>
                <w:sz w:val="24"/>
                <w:szCs w:val="24"/>
                <w:color w:val="auto"/>
              </w:rPr>
            </w:pPr>
          </w:p>
        </w:tc>
        <w:tc>
          <w:tcPr>
            <w:tcW w:w="1760" w:type="dxa"/>
            <w:vAlign w:val="bottom"/>
          </w:tcPr>
          <w:p>
            <w:pPr>
              <w:jc w:val="right"/>
              <w:ind w:right="430"/>
              <w:spacing w:after="0"/>
              <w:rPr>
                <w:sz w:val="20"/>
                <w:szCs w:val="20"/>
                <w:color w:val="auto"/>
              </w:rPr>
            </w:pPr>
            <w:r>
              <w:rPr>
                <w:rFonts w:ascii="Arial" w:cs="Arial" w:eastAsia="Arial" w:hAnsi="Arial"/>
                <w:sz w:val="18"/>
                <w:szCs w:val="18"/>
                <w:b w:val="1"/>
                <w:bCs w:val="1"/>
                <w:color w:val="auto"/>
              </w:rPr>
              <w:t>June 30, 2023</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80" w:type="dxa"/>
            <w:vAlign w:val="bottom"/>
          </w:tcPr>
          <w:p>
            <w:pPr>
              <w:jc w:val="right"/>
              <w:ind w:right="230"/>
              <w:spacing w:after="0"/>
              <w:rPr>
                <w:sz w:val="20"/>
                <w:szCs w:val="20"/>
                <w:color w:val="auto"/>
              </w:rPr>
            </w:pPr>
            <w:r>
              <w:rPr>
                <w:rFonts w:ascii="Arial" w:cs="Arial" w:eastAsia="Arial" w:hAnsi="Arial"/>
                <w:sz w:val="18"/>
                <w:szCs w:val="18"/>
                <w:b w:val="1"/>
                <w:bCs w:val="1"/>
                <w:color w:val="auto"/>
                <w:w w:val="94"/>
              </w:rPr>
              <w:t>December 31, 2022</w:t>
            </w:r>
          </w:p>
        </w:tc>
      </w:tr>
      <w:tr>
        <w:trPr>
          <w:trHeight w:val="20"/>
        </w:trPr>
        <w:tc>
          <w:tcPr>
            <w:tcW w:w="20" w:type="dxa"/>
            <w:vAlign w:val="bottom"/>
          </w:tcPr>
          <w:p>
            <w:pPr>
              <w:spacing w:after="0" w:line="20" w:lineRule="exact"/>
              <w:rPr>
                <w:sz w:val="1"/>
                <w:szCs w:val="1"/>
                <w:color w:val="auto"/>
              </w:rPr>
            </w:pPr>
          </w:p>
        </w:tc>
        <w:tc>
          <w:tcPr>
            <w:tcW w:w="860" w:type="dxa"/>
            <w:vAlign w:val="bottom"/>
            <w:tcBorders>
              <w:top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694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Short-term and current maturities of long-term debt:</w:t>
            </w:r>
          </w:p>
        </w:tc>
        <w:tc>
          <w:tcPr>
            <w:tcW w:w="32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6940" w:type="dxa"/>
            <w:vAlign w:val="bottom"/>
            <w:gridSpan w:val="3"/>
          </w:tcPr>
          <w:p>
            <w:pPr>
              <w:ind w:left="120"/>
              <w:spacing w:after="0"/>
              <w:rPr>
                <w:sz w:val="20"/>
                <w:szCs w:val="20"/>
                <w:color w:val="auto"/>
              </w:rPr>
            </w:pPr>
            <w:r>
              <w:rPr>
                <w:rFonts w:ascii="Arial" w:cs="Arial" w:eastAsia="Arial" w:hAnsi="Arial"/>
                <w:sz w:val="18"/>
                <w:szCs w:val="18"/>
                <w:color w:val="auto"/>
              </w:rPr>
              <w:t>Foreign lines of credit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362</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880" w:type="dxa"/>
            <w:vAlign w:val="bottom"/>
          </w:tcPr>
          <w:p>
            <w:pPr>
              <w:jc w:val="right"/>
              <w:spacing w:after="0"/>
              <w:rPr>
                <w:sz w:val="20"/>
                <w:szCs w:val="20"/>
                <w:color w:val="auto"/>
              </w:rPr>
            </w:pPr>
            <w:r>
              <w:rPr>
                <w:rFonts w:ascii="Arial" w:cs="Arial" w:eastAsia="Arial" w:hAnsi="Arial"/>
                <w:sz w:val="18"/>
                <w:szCs w:val="18"/>
                <w:color w:val="auto"/>
              </w:rPr>
              <w:t>198</w:t>
            </w:r>
          </w:p>
        </w:tc>
      </w:tr>
      <w:tr>
        <w:trPr>
          <w:trHeight w:val="243"/>
        </w:trPr>
        <w:tc>
          <w:tcPr>
            <w:tcW w:w="20" w:type="dxa"/>
            <w:vAlign w:val="bottom"/>
            <w:shd w:val="clear" w:color="auto" w:fill="CCEEFF"/>
          </w:tcPr>
          <w:p>
            <w:pPr>
              <w:spacing w:after="0"/>
              <w:rPr>
                <w:sz w:val="21"/>
                <w:szCs w:val="21"/>
                <w:color w:val="auto"/>
              </w:rPr>
            </w:pPr>
          </w:p>
        </w:tc>
        <w:tc>
          <w:tcPr>
            <w:tcW w:w="69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Finance lease and other financing obligations</w:t>
            </w:r>
          </w:p>
        </w:tc>
        <w:tc>
          <w:tcPr>
            <w:tcW w:w="320" w:type="dxa"/>
            <w:vAlign w:val="bottom"/>
            <w:tcBorders>
              <w:bottom w:val="single" w:sz="8" w:color="auto"/>
            </w:tcBorders>
            <w:shd w:val="clear" w:color="auto" w:fill="CCEEFF"/>
          </w:tcPr>
          <w:p>
            <w:pPr>
              <w:spacing w:after="0"/>
              <w:rPr>
                <w:sz w:val="21"/>
                <w:szCs w:val="21"/>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w:t>
            </w:r>
          </w:p>
        </w:tc>
      </w:tr>
      <w:tr>
        <w:trPr>
          <w:trHeight w:val="223"/>
        </w:trPr>
        <w:tc>
          <w:tcPr>
            <w:tcW w:w="20" w:type="dxa"/>
            <w:vAlign w:val="bottom"/>
          </w:tcPr>
          <w:p>
            <w:pPr>
              <w:spacing w:after="0"/>
              <w:rPr>
                <w:sz w:val="19"/>
                <w:szCs w:val="19"/>
                <w:color w:val="auto"/>
              </w:rPr>
            </w:pPr>
          </w:p>
        </w:tc>
        <w:tc>
          <w:tcPr>
            <w:tcW w:w="6940" w:type="dxa"/>
            <w:vAlign w:val="bottom"/>
            <w:gridSpan w:val="3"/>
          </w:tcPr>
          <w:p>
            <w:pPr>
              <w:ind w:left="200"/>
              <w:spacing w:after="0"/>
              <w:rPr>
                <w:sz w:val="20"/>
                <w:szCs w:val="20"/>
                <w:color w:val="auto"/>
              </w:rPr>
            </w:pPr>
            <w:r>
              <w:rPr>
                <w:rFonts w:ascii="Arial" w:cs="Arial" w:eastAsia="Arial" w:hAnsi="Arial"/>
                <w:sz w:val="18"/>
                <w:szCs w:val="18"/>
                <w:color w:val="auto"/>
              </w:rPr>
              <w:t>Total short-term and current maturities of long-term debt</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608</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468</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56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56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7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80" w:type="dxa"/>
            <w:vAlign w:val="bottom"/>
            <w:shd w:val="clear" w:color="auto" w:fill="CCEEFF"/>
          </w:tcPr>
          <w:p>
            <w:pPr>
              <w:spacing w:after="0"/>
              <w:rPr>
                <w:sz w:val="20"/>
                <w:szCs w:val="20"/>
                <w:color w:val="auto"/>
              </w:rPr>
            </w:pPr>
          </w:p>
        </w:tc>
      </w:tr>
      <w:tr>
        <w:trPr>
          <w:trHeight w:val="229"/>
        </w:trPr>
        <w:tc>
          <w:tcPr>
            <w:tcW w:w="20" w:type="dxa"/>
            <w:vAlign w:val="bottom"/>
          </w:tcPr>
          <w:p>
            <w:pPr>
              <w:spacing w:after="0"/>
              <w:rPr>
                <w:sz w:val="19"/>
                <w:szCs w:val="19"/>
                <w:color w:val="auto"/>
              </w:rPr>
            </w:pPr>
          </w:p>
        </w:tc>
        <w:tc>
          <w:tcPr>
            <w:tcW w:w="6940" w:type="dxa"/>
            <w:vAlign w:val="bottom"/>
            <w:gridSpan w:val="3"/>
          </w:tcPr>
          <w:p>
            <w:pPr>
              <w:spacing w:after="0"/>
              <w:rPr>
                <w:sz w:val="20"/>
                <w:szCs w:val="20"/>
                <w:color w:val="auto"/>
              </w:rPr>
            </w:pPr>
            <w:r>
              <w:rPr>
                <w:rFonts w:ascii="Arial" w:cs="Arial" w:eastAsia="Arial" w:hAnsi="Arial"/>
                <w:sz w:val="18"/>
                <w:szCs w:val="18"/>
                <w:b w:val="1"/>
                <w:bCs w:val="1"/>
                <w:color w:val="auto"/>
              </w:rPr>
              <w:t>Long-term debt:</w:t>
            </w:r>
          </w:p>
        </w:tc>
        <w:tc>
          <w:tcPr>
            <w:tcW w:w="3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243"/>
        </w:trPr>
        <w:tc>
          <w:tcPr>
            <w:tcW w:w="20" w:type="dxa"/>
            <w:vAlign w:val="bottom"/>
            <w:shd w:val="clear" w:color="auto" w:fill="CCEEFF"/>
          </w:tcPr>
          <w:p>
            <w:pPr>
              <w:spacing w:after="0"/>
              <w:rPr>
                <w:sz w:val="21"/>
                <w:szCs w:val="21"/>
                <w:color w:val="auto"/>
              </w:rPr>
            </w:pPr>
          </w:p>
        </w:tc>
        <w:tc>
          <w:tcPr>
            <w:tcW w:w="69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0.375% senior notes due July 2023 (Euro-denominated)</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w:t>
            </w:r>
          </w:p>
        </w:tc>
        <w:tc>
          <w:tcPr>
            <w:tcW w:w="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w:t>
            </w:r>
          </w:p>
        </w:tc>
      </w:tr>
      <w:tr>
        <w:trPr>
          <w:trHeight w:val="229"/>
        </w:trPr>
        <w:tc>
          <w:tcPr>
            <w:tcW w:w="20" w:type="dxa"/>
            <w:vAlign w:val="bottom"/>
          </w:tcPr>
          <w:p>
            <w:pPr>
              <w:spacing w:after="0"/>
              <w:rPr>
                <w:sz w:val="19"/>
                <w:szCs w:val="19"/>
                <w:color w:val="auto"/>
              </w:rPr>
            </w:pPr>
          </w:p>
        </w:tc>
        <w:tc>
          <w:tcPr>
            <w:tcW w:w="6940" w:type="dxa"/>
            <w:vAlign w:val="bottom"/>
            <w:gridSpan w:val="3"/>
          </w:tcPr>
          <w:p>
            <w:pPr>
              <w:ind w:left="120"/>
              <w:spacing w:after="0"/>
              <w:rPr>
                <w:sz w:val="20"/>
                <w:szCs w:val="20"/>
                <w:color w:val="auto"/>
              </w:rPr>
            </w:pPr>
            <w:r>
              <w:rPr>
                <w:rFonts w:ascii="Arial" w:cs="Arial" w:eastAsia="Arial" w:hAnsi="Arial"/>
                <w:sz w:val="18"/>
                <w:szCs w:val="18"/>
                <w:color w:val="auto"/>
              </w:rPr>
              <w:t>3.800% senior notes due October 2023</w:t>
            </w:r>
          </w:p>
        </w:tc>
        <w:tc>
          <w:tcPr>
            <w:tcW w:w="3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1,000</w:t>
            </w:r>
          </w:p>
        </w:tc>
      </w:tr>
      <w:tr>
        <w:trPr>
          <w:trHeight w:val="230"/>
        </w:trPr>
        <w:tc>
          <w:tcPr>
            <w:tcW w:w="20" w:type="dxa"/>
            <w:vAlign w:val="bottom"/>
            <w:shd w:val="clear" w:color="auto" w:fill="CCEEFF"/>
          </w:tcPr>
          <w:p>
            <w:pPr>
              <w:spacing w:after="0"/>
              <w:rPr>
                <w:sz w:val="19"/>
                <w:szCs w:val="19"/>
                <w:color w:val="auto"/>
              </w:rPr>
            </w:pPr>
          </w:p>
        </w:tc>
        <w:tc>
          <w:tcPr>
            <w:tcW w:w="69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2.750% senior notes due July 2024</w:t>
            </w:r>
          </w:p>
        </w:tc>
        <w:tc>
          <w:tcPr>
            <w:tcW w:w="3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r>
      <w:tr>
        <w:trPr>
          <w:trHeight w:val="237"/>
        </w:trPr>
        <w:tc>
          <w:tcPr>
            <w:tcW w:w="20" w:type="dxa"/>
            <w:vAlign w:val="bottom"/>
          </w:tcPr>
          <w:p>
            <w:pPr>
              <w:spacing w:after="0"/>
              <w:rPr>
                <w:sz w:val="20"/>
                <w:szCs w:val="20"/>
                <w:color w:val="auto"/>
              </w:rPr>
            </w:pPr>
          </w:p>
        </w:tc>
        <w:tc>
          <w:tcPr>
            <w:tcW w:w="6940" w:type="dxa"/>
            <w:vAlign w:val="bottom"/>
            <w:gridSpan w:val="3"/>
          </w:tcPr>
          <w:p>
            <w:pPr>
              <w:ind w:left="120"/>
              <w:spacing w:after="0"/>
              <w:rPr>
                <w:sz w:val="20"/>
                <w:szCs w:val="20"/>
                <w:color w:val="auto"/>
              </w:rPr>
            </w:pPr>
            <w:r>
              <w:rPr>
                <w:rFonts w:ascii="Arial" w:cs="Arial" w:eastAsia="Arial" w:hAnsi="Arial"/>
                <w:sz w:val="18"/>
                <w:szCs w:val="18"/>
                <w:color w:val="auto"/>
              </w:rPr>
              <w:t>3.850% senior notes due June 2025</w:t>
            </w:r>
          </w:p>
        </w:tc>
        <w:tc>
          <w:tcPr>
            <w:tcW w:w="32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900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900</w:t>
            </w:r>
          </w:p>
        </w:tc>
      </w:tr>
      <w:tr>
        <w:trPr>
          <w:trHeight w:val="236"/>
        </w:trPr>
        <w:tc>
          <w:tcPr>
            <w:tcW w:w="20" w:type="dxa"/>
            <w:vAlign w:val="bottom"/>
            <w:shd w:val="clear" w:color="auto" w:fill="CCEEFF"/>
          </w:tcPr>
          <w:p>
            <w:pPr>
              <w:spacing w:after="0"/>
              <w:rPr>
                <w:sz w:val="20"/>
                <w:szCs w:val="20"/>
                <w:color w:val="auto"/>
              </w:rPr>
            </w:pPr>
          </w:p>
        </w:tc>
        <w:tc>
          <w:tcPr>
            <w:tcW w:w="69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2.250% senior notes due July 2025 (British Pound-denominated)</w:t>
            </w:r>
          </w:p>
        </w:tc>
        <w:tc>
          <w:tcPr>
            <w:tcW w:w="320" w:type="dxa"/>
            <w:vAlign w:val="bottom"/>
            <w:shd w:val="clear" w:color="auto" w:fill="CCEEFF"/>
          </w:tcPr>
          <w:p>
            <w:pPr>
              <w:spacing w:after="0"/>
              <w:rPr>
                <w:sz w:val="20"/>
                <w:szCs w:val="20"/>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w:t>
            </w:r>
          </w:p>
        </w:tc>
      </w:tr>
      <w:tr>
        <w:trPr>
          <w:trHeight w:val="229"/>
        </w:trPr>
        <w:tc>
          <w:tcPr>
            <w:tcW w:w="20" w:type="dxa"/>
            <w:vAlign w:val="bottom"/>
          </w:tcPr>
          <w:p>
            <w:pPr>
              <w:spacing w:after="0"/>
              <w:rPr>
                <w:sz w:val="19"/>
                <w:szCs w:val="19"/>
                <w:color w:val="auto"/>
              </w:rPr>
            </w:pPr>
          </w:p>
        </w:tc>
        <w:tc>
          <w:tcPr>
            <w:tcW w:w="6940" w:type="dxa"/>
            <w:vAlign w:val="bottom"/>
            <w:gridSpan w:val="3"/>
          </w:tcPr>
          <w:p>
            <w:pPr>
              <w:ind w:left="120"/>
              <w:spacing w:after="0"/>
              <w:rPr>
                <w:sz w:val="20"/>
                <w:szCs w:val="20"/>
                <w:color w:val="auto"/>
              </w:rPr>
            </w:pPr>
            <w:r>
              <w:rPr>
                <w:rFonts w:ascii="Arial" w:cs="Arial" w:eastAsia="Arial" w:hAnsi="Arial"/>
                <w:sz w:val="18"/>
                <w:szCs w:val="18"/>
                <w:color w:val="auto"/>
              </w:rPr>
              <w:t>3.200% senior notes due July 2026</w:t>
            </w:r>
          </w:p>
        </w:tc>
        <w:tc>
          <w:tcPr>
            <w:tcW w:w="3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2,000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2,000</w:t>
            </w:r>
          </w:p>
        </w:tc>
      </w:tr>
      <w:tr>
        <w:trPr>
          <w:trHeight w:val="243"/>
        </w:trPr>
        <w:tc>
          <w:tcPr>
            <w:tcW w:w="20" w:type="dxa"/>
            <w:vAlign w:val="bottom"/>
            <w:shd w:val="clear" w:color="auto" w:fill="CCEEFF"/>
          </w:tcPr>
          <w:p>
            <w:pPr>
              <w:spacing w:after="0"/>
              <w:rPr>
                <w:sz w:val="21"/>
                <w:szCs w:val="21"/>
                <w:color w:val="auto"/>
              </w:rPr>
            </w:pPr>
          </w:p>
        </w:tc>
        <w:tc>
          <w:tcPr>
            <w:tcW w:w="69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2.250% senior notes due June 2027</w:t>
            </w:r>
          </w:p>
        </w:tc>
        <w:tc>
          <w:tcPr>
            <w:tcW w:w="320" w:type="dxa"/>
            <w:vAlign w:val="bottom"/>
            <w:shd w:val="clear" w:color="auto" w:fill="CCEEFF"/>
          </w:tcPr>
          <w:p>
            <w:pPr>
              <w:spacing w:after="0"/>
              <w:rPr>
                <w:sz w:val="21"/>
                <w:szCs w:val="21"/>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29"/>
        </w:trPr>
        <w:tc>
          <w:tcPr>
            <w:tcW w:w="20" w:type="dxa"/>
            <w:vAlign w:val="bottom"/>
          </w:tcPr>
          <w:p>
            <w:pPr>
              <w:spacing w:after="0"/>
              <w:rPr>
                <w:sz w:val="19"/>
                <w:szCs w:val="19"/>
                <w:color w:val="auto"/>
              </w:rPr>
            </w:pPr>
          </w:p>
        </w:tc>
        <w:tc>
          <w:tcPr>
            <w:tcW w:w="6940" w:type="dxa"/>
            <w:vAlign w:val="bottom"/>
            <w:gridSpan w:val="3"/>
          </w:tcPr>
          <w:p>
            <w:pPr>
              <w:ind w:left="120"/>
              <w:spacing w:after="0"/>
              <w:rPr>
                <w:sz w:val="20"/>
                <w:szCs w:val="20"/>
                <w:color w:val="auto"/>
              </w:rPr>
            </w:pPr>
            <w:r>
              <w:rPr>
                <w:rFonts w:ascii="Arial" w:cs="Arial" w:eastAsia="Arial" w:hAnsi="Arial"/>
                <w:sz w:val="18"/>
                <w:szCs w:val="18"/>
                <w:color w:val="auto"/>
              </w:rPr>
              <w:t>1.125% senior notes due July 2027 (Euro-denominated)</w:t>
            </w:r>
          </w:p>
        </w:tc>
        <w:tc>
          <w:tcPr>
            <w:tcW w:w="3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546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531</w:t>
            </w:r>
          </w:p>
        </w:tc>
      </w:tr>
      <w:tr>
        <w:trPr>
          <w:trHeight w:val="229"/>
        </w:trPr>
        <w:tc>
          <w:tcPr>
            <w:tcW w:w="20" w:type="dxa"/>
            <w:vAlign w:val="bottom"/>
            <w:shd w:val="clear" w:color="auto" w:fill="CCEEFF"/>
          </w:tcPr>
          <w:p>
            <w:pPr>
              <w:spacing w:after="0"/>
              <w:rPr>
                <w:sz w:val="19"/>
                <w:szCs w:val="19"/>
                <w:color w:val="auto"/>
              </w:rPr>
            </w:pPr>
          </w:p>
        </w:tc>
        <w:tc>
          <w:tcPr>
            <w:tcW w:w="69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5.450% senior notes due March 2028</w:t>
            </w:r>
          </w:p>
        </w:tc>
        <w:tc>
          <w:tcPr>
            <w:tcW w:w="3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20" w:type="dxa"/>
            <w:vAlign w:val="bottom"/>
          </w:tcPr>
          <w:p>
            <w:pPr>
              <w:spacing w:after="0"/>
              <w:rPr>
                <w:sz w:val="20"/>
                <w:szCs w:val="20"/>
                <w:color w:val="auto"/>
              </w:rPr>
            </w:pPr>
          </w:p>
        </w:tc>
        <w:tc>
          <w:tcPr>
            <w:tcW w:w="6940" w:type="dxa"/>
            <w:vAlign w:val="bottom"/>
            <w:gridSpan w:val="3"/>
          </w:tcPr>
          <w:p>
            <w:pPr>
              <w:ind w:left="120"/>
              <w:spacing w:after="0"/>
              <w:rPr>
                <w:sz w:val="20"/>
                <w:szCs w:val="20"/>
                <w:color w:val="auto"/>
              </w:rPr>
            </w:pPr>
            <w:r>
              <w:rPr>
                <w:rFonts w:ascii="Arial" w:cs="Arial" w:eastAsia="Arial" w:hAnsi="Arial"/>
                <w:sz w:val="18"/>
                <w:szCs w:val="18"/>
                <w:color w:val="auto"/>
              </w:rPr>
              <w:t>4.200% senior notes due October 2028</w:t>
            </w:r>
          </w:p>
        </w:tc>
        <w:tc>
          <w:tcPr>
            <w:tcW w:w="32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1,000</w:t>
            </w:r>
          </w:p>
        </w:tc>
      </w:tr>
      <w:tr>
        <w:trPr>
          <w:trHeight w:val="236"/>
        </w:trPr>
        <w:tc>
          <w:tcPr>
            <w:tcW w:w="20" w:type="dxa"/>
            <w:vAlign w:val="bottom"/>
            <w:shd w:val="clear" w:color="auto" w:fill="CCEEFF"/>
          </w:tcPr>
          <w:p>
            <w:pPr>
              <w:spacing w:after="0"/>
              <w:rPr>
                <w:sz w:val="20"/>
                <w:szCs w:val="20"/>
                <w:color w:val="auto"/>
              </w:rPr>
            </w:pPr>
          </w:p>
        </w:tc>
        <w:tc>
          <w:tcPr>
            <w:tcW w:w="69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3.500% senior notes due July 2029</w:t>
            </w:r>
          </w:p>
        </w:tc>
        <w:tc>
          <w:tcPr>
            <w:tcW w:w="320" w:type="dxa"/>
            <w:vAlign w:val="bottom"/>
            <w:shd w:val="clear" w:color="auto" w:fill="CCEEFF"/>
          </w:tcPr>
          <w:p>
            <w:pPr>
              <w:spacing w:after="0"/>
              <w:rPr>
                <w:sz w:val="20"/>
                <w:szCs w:val="20"/>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w:t>
            </w:r>
          </w:p>
        </w:tc>
      </w:tr>
      <w:tr>
        <w:trPr>
          <w:trHeight w:val="230"/>
        </w:trPr>
        <w:tc>
          <w:tcPr>
            <w:tcW w:w="20" w:type="dxa"/>
            <w:vAlign w:val="bottom"/>
          </w:tcPr>
          <w:p>
            <w:pPr>
              <w:spacing w:after="0"/>
              <w:rPr>
                <w:sz w:val="19"/>
                <w:szCs w:val="19"/>
                <w:color w:val="auto"/>
              </w:rPr>
            </w:pPr>
          </w:p>
        </w:tc>
        <w:tc>
          <w:tcPr>
            <w:tcW w:w="6940" w:type="dxa"/>
            <w:vAlign w:val="bottom"/>
            <w:gridSpan w:val="3"/>
          </w:tcPr>
          <w:p>
            <w:pPr>
              <w:ind w:left="120"/>
              <w:spacing w:after="0"/>
              <w:rPr>
                <w:sz w:val="20"/>
                <w:szCs w:val="20"/>
                <w:color w:val="auto"/>
              </w:rPr>
            </w:pPr>
            <w:r>
              <w:rPr>
                <w:rFonts w:ascii="Arial" w:cs="Arial" w:eastAsia="Arial" w:hAnsi="Arial"/>
                <w:sz w:val="18"/>
                <w:szCs w:val="18"/>
                <w:color w:val="auto"/>
              </w:rPr>
              <w:t>2.650% senior notes due June 2030</w:t>
            </w:r>
          </w:p>
        </w:tc>
        <w:tc>
          <w:tcPr>
            <w:tcW w:w="3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1,000</w:t>
            </w:r>
          </w:p>
        </w:tc>
      </w:tr>
      <w:tr>
        <w:trPr>
          <w:trHeight w:val="243"/>
        </w:trPr>
        <w:tc>
          <w:tcPr>
            <w:tcW w:w="20" w:type="dxa"/>
            <w:vAlign w:val="bottom"/>
            <w:shd w:val="clear" w:color="auto" w:fill="CCEEFF"/>
          </w:tcPr>
          <w:p>
            <w:pPr>
              <w:spacing w:after="0"/>
              <w:rPr>
                <w:sz w:val="21"/>
                <w:szCs w:val="21"/>
                <w:color w:val="auto"/>
              </w:rPr>
            </w:pPr>
          </w:p>
        </w:tc>
        <w:tc>
          <w:tcPr>
            <w:tcW w:w="69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1.625% senior notes due July 2030 (Euro-denominated)</w:t>
            </w:r>
          </w:p>
        </w:tc>
        <w:tc>
          <w:tcPr>
            <w:tcW w:w="320" w:type="dxa"/>
            <w:vAlign w:val="bottom"/>
            <w:shd w:val="clear" w:color="auto" w:fill="CCEEFF"/>
          </w:tcPr>
          <w:p>
            <w:pPr>
              <w:spacing w:after="0"/>
              <w:rPr>
                <w:sz w:val="21"/>
                <w:szCs w:val="21"/>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w:t>
            </w:r>
          </w:p>
        </w:tc>
      </w:tr>
      <w:tr>
        <w:trPr>
          <w:trHeight w:val="229"/>
        </w:trPr>
        <w:tc>
          <w:tcPr>
            <w:tcW w:w="20" w:type="dxa"/>
            <w:vAlign w:val="bottom"/>
          </w:tcPr>
          <w:p>
            <w:pPr>
              <w:spacing w:after="0"/>
              <w:rPr>
                <w:sz w:val="19"/>
                <w:szCs w:val="19"/>
                <w:color w:val="auto"/>
              </w:rPr>
            </w:pPr>
          </w:p>
        </w:tc>
        <w:tc>
          <w:tcPr>
            <w:tcW w:w="6940" w:type="dxa"/>
            <w:vAlign w:val="bottom"/>
            <w:gridSpan w:val="3"/>
          </w:tcPr>
          <w:p>
            <w:pPr>
              <w:ind w:left="120"/>
              <w:spacing w:after="0"/>
              <w:rPr>
                <w:sz w:val="20"/>
                <w:szCs w:val="20"/>
                <w:color w:val="auto"/>
              </w:rPr>
            </w:pPr>
            <w:r>
              <w:rPr>
                <w:rFonts w:ascii="Arial" w:cs="Arial" w:eastAsia="Arial" w:hAnsi="Arial"/>
                <w:sz w:val="18"/>
                <w:szCs w:val="18"/>
                <w:color w:val="auto"/>
              </w:rPr>
              <w:t>4.500% senior notes due May 2031 (Euro-denominated)</w:t>
            </w:r>
          </w:p>
        </w:tc>
        <w:tc>
          <w:tcPr>
            <w:tcW w:w="3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873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shd w:val="clear" w:color="auto" w:fill="CCEEFF"/>
          </w:tcPr>
          <w:p>
            <w:pPr>
              <w:spacing w:after="0"/>
              <w:rPr>
                <w:sz w:val="19"/>
                <w:szCs w:val="19"/>
                <w:color w:val="auto"/>
              </w:rPr>
            </w:pPr>
          </w:p>
        </w:tc>
        <w:tc>
          <w:tcPr>
            <w:tcW w:w="69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3.000% senior notes due July 2031 (British Pound-denominated)</w:t>
            </w:r>
          </w:p>
        </w:tc>
        <w:tc>
          <w:tcPr>
            <w:tcW w:w="3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w:t>
            </w:r>
          </w:p>
        </w:tc>
      </w:tr>
      <w:tr>
        <w:trPr>
          <w:trHeight w:val="237"/>
        </w:trPr>
        <w:tc>
          <w:tcPr>
            <w:tcW w:w="20" w:type="dxa"/>
            <w:vAlign w:val="bottom"/>
          </w:tcPr>
          <w:p>
            <w:pPr>
              <w:spacing w:after="0"/>
              <w:rPr>
                <w:sz w:val="20"/>
                <w:szCs w:val="20"/>
                <w:color w:val="auto"/>
              </w:rPr>
            </w:pPr>
          </w:p>
        </w:tc>
        <w:tc>
          <w:tcPr>
            <w:tcW w:w="6940" w:type="dxa"/>
            <w:vAlign w:val="bottom"/>
            <w:gridSpan w:val="3"/>
          </w:tcPr>
          <w:p>
            <w:pPr>
              <w:ind w:left="120"/>
              <w:spacing w:after="0"/>
              <w:rPr>
                <w:sz w:val="20"/>
                <w:szCs w:val="20"/>
                <w:color w:val="auto"/>
              </w:rPr>
            </w:pPr>
            <w:r>
              <w:rPr>
                <w:rFonts w:ascii="Arial" w:cs="Arial" w:eastAsia="Arial" w:hAnsi="Arial"/>
                <w:sz w:val="18"/>
                <w:szCs w:val="18"/>
                <w:color w:val="auto"/>
              </w:rPr>
              <w:t>5.600% senior notes due March 2033</w:t>
            </w:r>
          </w:p>
        </w:tc>
        <w:tc>
          <w:tcPr>
            <w:tcW w:w="32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900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6"/>
        </w:trPr>
        <w:tc>
          <w:tcPr>
            <w:tcW w:w="20" w:type="dxa"/>
            <w:vAlign w:val="bottom"/>
            <w:shd w:val="clear" w:color="auto" w:fill="CCEEFF"/>
          </w:tcPr>
          <w:p>
            <w:pPr>
              <w:spacing w:after="0"/>
              <w:rPr>
                <w:sz w:val="20"/>
                <w:szCs w:val="20"/>
                <w:color w:val="auto"/>
              </w:rPr>
            </w:pPr>
          </w:p>
        </w:tc>
        <w:tc>
          <w:tcPr>
            <w:tcW w:w="69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4.400% senior notes due July 2049</w:t>
            </w:r>
          </w:p>
        </w:tc>
        <w:tc>
          <w:tcPr>
            <w:tcW w:w="320" w:type="dxa"/>
            <w:vAlign w:val="bottom"/>
            <w:shd w:val="clear" w:color="auto" w:fill="CCEEFF"/>
          </w:tcPr>
          <w:p>
            <w:pPr>
              <w:spacing w:after="0"/>
              <w:rPr>
                <w:sz w:val="20"/>
                <w:szCs w:val="20"/>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r>
      <w:tr>
        <w:trPr>
          <w:trHeight w:val="230"/>
        </w:trPr>
        <w:tc>
          <w:tcPr>
            <w:tcW w:w="20" w:type="dxa"/>
            <w:vAlign w:val="bottom"/>
          </w:tcPr>
          <w:p>
            <w:pPr>
              <w:spacing w:after="0"/>
              <w:rPr>
                <w:sz w:val="19"/>
                <w:szCs w:val="19"/>
                <w:color w:val="auto"/>
              </w:rPr>
            </w:pPr>
          </w:p>
        </w:tc>
        <w:tc>
          <w:tcPr>
            <w:tcW w:w="6940" w:type="dxa"/>
            <w:vAlign w:val="bottom"/>
            <w:gridSpan w:val="3"/>
          </w:tcPr>
          <w:p>
            <w:pPr>
              <w:ind w:left="120"/>
              <w:spacing w:after="0"/>
              <w:rPr>
                <w:sz w:val="20"/>
                <w:szCs w:val="20"/>
                <w:color w:val="auto"/>
              </w:rPr>
            </w:pPr>
            <w:r>
              <w:rPr>
                <w:rFonts w:ascii="Arial" w:cs="Arial" w:eastAsia="Arial" w:hAnsi="Arial"/>
                <w:sz w:val="18"/>
                <w:szCs w:val="18"/>
                <w:color w:val="auto"/>
              </w:rPr>
              <w:t>U.S. dollar commercial paper notes</w:t>
            </w:r>
          </w:p>
        </w:tc>
        <w:tc>
          <w:tcPr>
            <w:tcW w:w="3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1,292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2,329</w:t>
            </w:r>
          </w:p>
        </w:tc>
      </w:tr>
      <w:tr>
        <w:trPr>
          <w:trHeight w:val="243"/>
        </w:trPr>
        <w:tc>
          <w:tcPr>
            <w:tcW w:w="20" w:type="dxa"/>
            <w:vAlign w:val="bottom"/>
            <w:shd w:val="clear" w:color="auto" w:fill="CCEEFF"/>
          </w:tcPr>
          <w:p>
            <w:pPr>
              <w:spacing w:after="0"/>
              <w:rPr>
                <w:sz w:val="21"/>
                <w:szCs w:val="21"/>
                <w:color w:val="auto"/>
              </w:rPr>
            </w:pPr>
          </w:p>
        </w:tc>
        <w:tc>
          <w:tcPr>
            <w:tcW w:w="69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Euro commercial paper notes</w:t>
            </w:r>
          </w:p>
        </w:tc>
        <w:tc>
          <w:tcPr>
            <w:tcW w:w="320" w:type="dxa"/>
            <w:vAlign w:val="bottom"/>
            <w:shd w:val="clear" w:color="auto" w:fill="CCEEFF"/>
          </w:tcPr>
          <w:p>
            <w:pPr>
              <w:spacing w:after="0"/>
              <w:rPr>
                <w:sz w:val="21"/>
                <w:szCs w:val="21"/>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1,285</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1,210</w:t>
            </w:r>
          </w:p>
        </w:tc>
      </w:tr>
      <w:tr>
        <w:trPr>
          <w:trHeight w:val="230"/>
        </w:trPr>
        <w:tc>
          <w:tcPr>
            <w:tcW w:w="20" w:type="dxa"/>
            <w:vAlign w:val="bottom"/>
          </w:tcPr>
          <w:p>
            <w:pPr>
              <w:spacing w:after="0"/>
              <w:rPr>
                <w:sz w:val="19"/>
                <w:szCs w:val="19"/>
                <w:color w:val="auto"/>
              </w:rPr>
            </w:pPr>
          </w:p>
        </w:tc>
        <w:tc>
          <w:tcPr>
            <w:tcW w:w="6940" w:type="dxa"/>
            <w:vAlign w:val="bottom"/>
            <w:gridSpan w:val="3"/>
          </w:tcPr>
          <w:p>
            <w:pPr>
              <w:ind w:left="120"/>
              <w:spacing w:after="0"/>
              <w:rPr>
                <w:sz w:val="20"/>
                <w:szCs w:val="20"/>
                <w:color w:val="auto"/>
              </w:rPr>
            </w:pPr>
            <w:r>
              <w:rPr>
                <w:rFonts w:ascii="Arial" w:cs="Arial" w:eastAsia="Arial" w:hAnsi="Arial"/>
                <w:sz w:val="18"/>
                <w:szCs w:val="18"/>
                <w:color w:val="auto"/>
              </w:rPr>
              <w:t>Revolving credit facility</w:t>
            </w:r>
          </w:p>
        </w:tc>
        <w:tc>
          <w:tcPr>
            <w:tcW w:w="3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30"/>
        </w:trPr>
        <w:tc>
          <w:tcPr>
            <w:tcW w:w="20" w:type="dxa"/>
            <w:vAlign w:val="bottom"/>
            <w:shd w:val="clear" w:color="auto" w:fill="CCEEFF"/>
          </w:tcPr>
          <w:p>
            <w:pPr>
              <w:spacing w:after="0"/>
              <w:rPr>
                <w:sz w:val="19"/>
                <w:szCs w:val="19"/>
                <w:color w:val="auto"/>
              </w:rPr>
            </w:pPr>
          </w:p>
        </w:tc>
        <w:tc>
          <w:tcPr>
            <w:tcW w:w="69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Term loan facility</w:t>
            </w:r>
          </w:p>
        </w:tc>
        <w:tc>
          <w:tcPr>
            <w:tcW w:w="3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r>
      <w:tr>
        <w:trPr>
          <w:trHeight w:val="237"/>
        </w:trPr>
        <w:tc>
          <w:tcPr>
            <w:tcW w:w="20" w:type="dxa"/>
            <w:vAlign w:val="bottom"/>
          </w:tcPr>
          <w:p>
            <w:pPr>
              <w:spacing w:after="0"/>
              <w:rPr>
                <w:sz w:val="20"/>
                <w:szCs w:val="20"/>
                <w:color w:val="auto"/>
              </w:rPr>
            </w:pPr>
          </w:p>
        </w:tc>
        <w:tc>
          <w:tcPr>
            <w:tcW w:w="6940" w:type="dxa"/>
            <w:vAlign w:val="bottom"/>
            <w:gridSpan w:val="3"/>
          </w:tcPr>
          <w:p>
            <w:pPr>
              <w:ind w:left="120"/>
              <w:spacing w:after="0"/>
              <w:rPr>
                <w:sz w:val="20"/>
                <w:szCs w:val="20"/>
                <w:color w:val="auto"/>
              </w:rPr>
            </w:pPr>
            <w:r>
              <w:rPr>
                <w:rFonts w:ascii="Arial" w:cs="Arial" w:eastAsia="Arial" w:hAnsi="Arial"/>
                <w:sz w:val="18"/>
                <w:szCs w:val="18"/>
                <w:color w:val="auto"/>
              </w:rPr>
              <w:t>Unamortized discount and deferred financing costs</w:t>
            </w:r>
          </w:p>
        </w:tc>
        <w:tc>
          <w:tcPr>
            <w:tcW w:w="32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(120)</w:t>
            </w:r>
          </w:p>
        </w:tc>
      </w:tr>
      <w:tr>
        <w:trPr>
          <w:trHeight w:val="236"/>
        </w:trPr>
        <w:tc>
          <w:tcPr>
            <w:tcW w:w="20" w:type="dxa"/>
            <w:vAlign w:val="bottom"/>
            <w:tcBorders>
              <w:bottom w:val="single" w:sz="8" w:color="CCEEFF"/>
            </w:tcBorders>
            <w:shd w:val="clear" w:color="auto" w:fill="CCEEFF"/>
          </w:tcPr>
          <w:p>
            <w:pPr>
              <w:spacing w:after="0"/>
              <w:rPr>
                <w:sz w:val="20"/>
                <w:szCs w:val="20"/>
                <w:color w:val="auto"/>
              </w:rPr>
            </w:pPr>
          </w:p>
        </w:tc>
        <w:tc>
          <w:tcPr>
            <w:tcW w:w="6940" w:type="dxa"/>
            <w:vAlign w:val="bottom"/>
            <w:tcBorders>
              <w:bottom w:val="single" w:sz="8" w:color="CCEEFF"/>
            </w:tcBorders>
            <w:gridSpan w:val="3"/>
            <w:shd w:val="clear" w:color="auto" w:fill="CCEEFF"/>
          </w:tcPr>
          <w:p>
            <w:pPr>
              <w:ind w:left="120"/>
              <w:spacing w:after="0"/>
              <w:rPr>
                <w:sz w:val="20"/>
                <w:szCs w:val="20"/>
                <w:color w:val="auto"/>
              </w:rPr>
            </w:pPr>
            <w:r>
              <w:rPr>
                <w:rFonts w:ascii="Arial" w:cs="Arial" w:eastAsia="Arial" w:hAnsi="Arial"/>
                <w:sz w:val="18"/>
                <w:szCs w:val="18"/>
                <w:color w:val="auto"/>
              </w:rPr>
              <w:t>Finance lease and other financing obligations</w:t>
            </w:r>
          </w:p>
        </w:tc>
        <w:tc>
          <w:tcPr>
            <w:tcW w:w="320" w:type="dxa"/>
            <w:vAlign w:val="bottom"/>
            <w:tcBorders>
              <w:bottom w:val="single" w:sz="8" w:color="auto"/>
            </w:tcBorders>
            <w:shd w:val="clear" w:color="auto" w:fill="CCEEFF"/>
          </w:tcPr>
          <w:p>
            <w:pPr>
              <w:spacing w:after="0"/>
              <w:rPr>
                <w:sz w:val="20"/>
                <w:szCs w:val="20"/>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576</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539</w:t>
            </w:r>
          </w:p>
        </w:tc>
      </w:tr>
      <w:tr>
        <w:trPr>
          <w:trHeight w:val="223"/>
        </w:trPr>
        <w:tc>
          <w:tcPr>
            <w:tcW w:w="20" w:type="dxa"/>
            <w:vAlign w:val="bottom"/>
          </w:tcPr>
          <w:p>
            <w:pPr>
              <w:spacing w:after="0"/>
              <w:rPr>
                <w:sz w:val="19"/>
                <w:szCs w:val="19"/>
                <w:color w:val="auto"/>
              </w:rPr>
            </w:pPr>
          </w:p>
        </w:tc>
        <w:tc>
          <w:tcPr>
            <w:tcW w:w="6940" w:type="dxa"/>
            <w:vAlign w:val="bottom"/>
            <w:gridSpan w:val="3"/>
          </w:tcPr>
          <w:p>
            <w:pPr>
              <w:ind w:left="200"/>
              <w:spacing w:after="0"/>
              <w:rPr>
                <w:sz w:val="20"/>
                <w:szCs w:val="20"/>
                <w:color w:val="auto"/>
              </w:rPr>
            </w:pPr>
            <w:r>
              <w:rPr>
                <w:rFonts w:ascii="Arial" w:cs="Arial" w:eastAsia="Arial" w:hAnsi="Arial"/>
                <w:sz w:val="18"/>
                <w:szCs w:val="18"/>
                <w:color w:val="auto"/>
              </w:rPr>
              <w:t>Total long-term debt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22,595</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880" w:type="dxa"/>
            <w:vAlign w:val="bottom"/>
          </w:tcPr>
          <w:p>
            <w:pPr>
              <w:jc w:val="right"/>
              <w:spacing w:after="0"/>
              <w:rPr>
                <w:sz w:val="20"/>
                <w:szCs w:val="20"/>
                <w:color w:val="auto"/>
              </w:rPr>
            </w:pPr>
            <w:r>
              <w:rPr>
                <w:rFonts w:ascii="Arial" w:cs="Arial" w:eastAsia="Arial" w:hAnsi="Arial"/>
                <w:sz w:val="18"/>
                <w:szCs w:val="18"/>
                <w:color w:val="auto"/>
              </w:rPr>
              <w:t>20,950</w:t>
            </w: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80" w:type="dxa"/>
            <w:vAlign w:val="bottom"/>
            <w:tcBorders>
              <w:top w:val="single" w:sz="8" w:color="auto"/>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The Company was in compliance with all financial debt covenants during the six months ended June 30, 2023.</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Notes</w:t>
      </w:r>
    </w:p>
    <w:p>
      <w:pPr>
        <w:spacing w:after="0" w:line="17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On May 24, 2023, the Company completed the public offering and issuance of 800 million Euros aggregate principal amount of 4.500% senior notes due in May 2031 (the “2031 Euro Senior Notes”). Interest on these senior notes is paid annually. The Company used the net proceeds from this senior notes offering for general corporate purposes, including the repayment of U.S. dollar commercial paper notes and, in July 2023, the repayment of the 0.375% Euro-denominated senior notes.</w:t>
      </w:r>
    </w:p>
    <w:p>
      <w:pPr>
        <w:spacing w:after="0" w:line="133"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On March 2, 2023, the Company completed the public offering and issuance of $1.8 billion of senior notes, comprised of $900 million aggregate principal amount of 5.450% senior notes due in March 2028 and $900 million aggregate principal amount of 5.600% senior notes due in March 2033. Interest on these senior notes is paid semi-annually. The Company used the net proceeds from these senior notes offerings for general corporate purposes, including the repayment of U.S. dollar commercial paper notes.</w:t>
      </w:r>
    </w:p>
    <w:p>
      <w:pPr>
        <w:spacing w:after="0" w:line="133"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At June 30, 2023, the 0.375% Euro-denominated senior notes due in July 2023 and 3.800% senior notes due in October 2023 were classified in the consolidated balance sheet as long-term, as the Company has subsequently refinanced the 0.375% Euro-</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denominated senior notes due in July 2023 and has the intent to refinance the 3.800% senior notes due in October 2023 on a long-term basis and the ability to do so under its revolving credit facility.</w:t>
      </w:r>
    </w:p>
    <w:p>
      <w:pPr>
        <w:spacing w:after="0" w:line="116" w:lineRule="exact"/>
        <w:rPr>
          <w:sz w:val="20"/>
          <w:szCs w:val="20"/>
          <w:color w:val="auto"/>
        </w:rPr>
      </w:pPr>
    </w:p>
    <w:p>
      <w:pPr>
        <w:ind w:right="220"/>
        <w:spacing w:after="0" w:line="301" w:lineRule="auto"/>
        <w:rPr>
          <w:sz w:val="20"/>
          <w:szCs w:val="20"/>
          <w:color w:val="auto"/>
        </w:rPr>
      </w:pPr>
      <w:r>
        <w:rPr>
          <w:rFonts w:ascii="Arial" w:cs="Arial" w:eastAsia="Arial" w:hAnsi="Arial"/>
          <w:sz w:val="16"/>
          <w:szCs w:val="16"/>
          <w:color w:val="auto"/>
        </w:rPr>
        <w:t>The indentures governing each of these senior notes contain covenants that, among other matters, limit (i) the Company’s ability to consolidate or merge with or into, or convey, transfer or lease all or substantially all of its properties and assets to, another person, (ii) the Company’s and certain of its subsidiaries’ ability to create or assume liens, and (iii) the Company’s and certain of its subsidiaries’ ability to engage in sale and leaseback transactions. The Company may, at its option, redeem these senior notes, in whole or in part, at any time and from time to time at the applicable redemption price.</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Commercial Paper</w:t>
      </w:r>
    </w:p>
    <w:p>
      <w:pPr>
        <w:spacing w:after="0" w:line="171"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The Company maintains unsecured U.S. dollar and Euro commercial paper programs. From time to time, the Company may issue under these programs U.S. dollar commercial paper with maturities of up to 397 days from the date of issuance and Euro commercial paper with maturities of up to 183 days from the date of issuance. Outstanding borrowings under the U.S. dollar program were $1.3 billion and $2.3 billion at June 30, 2023 and December 31, 2022, respectively, with weighted average interest rates of 5.337% and 4.818%, respectively. Outstanding borrowings under the Euro program were $1.3 billion and $1.2 billion at June 30, 2023 and December 31, 2022, respectively, with weighted average interest rates of 3.467% and 1.918%, respectively. The Company intends to maintain available capacity under its revolving credit facility in an amount at least equal to the aggregate outstanding borrowings under its commercial paper programs. Outstanding borrowings under the commercial paper programs are classified in the consolidated balance sheets as long-term as the Company has the intent to refinance this commercial paper on a long-term basis through the continued issuance of new commercial paper upon maturity, and the Company also has the ability to refinance such commercial paper under its revolving credit facility.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Revolving Credit Facility</w:t>
      </w:r>
    </w:p>
    <w:p>
      <w:pPr>
        <w:spacing w:after="0" w:line="17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Company maintains a senior unsecured multicurrency revolving credit facility, which matures in June 2027 and provides for a maximum aggregate principal amount of availability of $6.0 billion. Borrowings under the credit facility bear interest at a variable rate based on a Secured Overnight Financing Rate (SOFR), or a base rate in the case of U.S. dollar borrowings, in each case, plus a specified margin based on the Company’s long-term debt rating in effect from time to time (6.190% at June 30, 2023).</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Lines of Credit</w:t>
      </w:r>
    </w:p>
    <w:p>
      <w:pPr>
        <w:spacing w:after="0" w:line="171"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The Company maintains certain short-term lines of credit and other borrowing arrangements with foreign banks and alliance partners primarily to fund settlement activity associated with operations in Latin America. The Company entered into an annually renewable term loan facility to fund settlement advance cash payments in Brazil. This term loan, fully funded in April 2023, has a notional value of 514 million Brazilian real ($106 million USD equivalent) at June 30, 2023 that matures in April 2024 and bears interest at a variable Certificado de Depósito Interbancário (CDI) Rate, plus a specified margin of 1.70% per annum. Weighted-average interest rates under these facilities were 52.831% and 30.578% at June 30, 2023 and December 31, 2022, respectively.</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 Loan Facility</w:t>
      </w:r>
    </w:p>
    <w:p>
      <w:pPr>
        <w:spacing w:after="0" w:line="171"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In June 2023, the Company repaid all remaining outstanding borrowings on its existing term loan facility utilizing proceeds from the issuance of U.S. dollar commercial paper notes and operating cash on hand, thereby terminating such facility. Borrowings under the term loan facility accrued interest at a variable rate based on one-month LIBOR or on a base rate, plus, in each case, a specified margin based on the Company’s long-term debt rating in effect from time to time. The variable interest rate on the term loan facility borrowings was 5.639% at December 31, 2022.</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Redeemable Noncontrolling Interests</w:t>
      </w:r>
    </w:p>
    <w:p>
      <w:pPr>
        <w:spacing w:after="0" w:line="175"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The minority partner in one of the Company’s existing merchant alliance joint ventures maintains a redeemable noncontrolling 1% interest which is presented outside of equity and carried at its estimated redemption value. The minority partner is entitled to a contractually determined share of the entity’s income, and the joint venture agreement contains redemption features whereby the interest held by the minority partner is redeemable either (i) at the option of the holder or (ii) upon the occurrence of an event that is not solely within the Company’s control. The joint venture may be terminated by either party for convenience any time after December 31, 2024. In the event of termination for cause, as a result of a change in control, or for convenience after the predetermined date, the Company may be required to purchase the minority partner membership interest at a price equal to the fair market value of the minority interest through a distribution of cash, certain merchant contracts of the joint venture, or a combination thereof. In conjunction with the termination of the joint venture, the minority partner may also exercise an option to purchase certain additional merchant contracts at fair market value.</w:t>
      </w:r>
    </w:p>
    <w:p>
      <w:pPr>
        <w:spacing w:after="0" w:line="200" w:lineRule="exact"/>
        <w:rPr>
          <w:sz w:val="20"/>
          <w:szCs w:val="20"/>
          <w:color w:val="auto"/>
        </w:rPr>
      </w:pPr>
    </w:p>
    <w:p>
      <w:pPr>
        <w:spacing w:after="0" w:line="3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240"/>
        <w:spacing w:after="0" w:line="296" w:lineRule="auto"/>
        <w:rPr>
          <w:sz w:val="20"/>
          <w:szCs w:val="20"/>
          <w:color w:val="auto"/>
        </w:rPr>
      </w:pPr>
      <w:r>
        <w:rPr>
          <w:rFonts w:ascii="Arial" w:cs="Arial" w:eastAsia="Arial" w:hAnsi="Arial"/>
          <w:sz w:val="16"/>
          <w:szCs w:val="16"/>
          <w:color w:val="auto"/>
        </w:rPr>
        <w:t>In 2021, the Company and a joint venture minority partner mutually agreed to terminate one of the Company’s merchant alliance joint ventures effective March 2022. In conjunction with the termination, the joint venture minority partner elected to exercise its option to purchase certain additional merchant contracts of the joint venture. The Company received proceeds of $175 million from the sale of such merchant contracts of the joint venture, resulting in the recognition of a pre-tax gain of $147 million within net loss (gain) on sale of businesses and other assets, with related tax expense of $9 million recorded through the income tax provision, in the consolidated statement of income during the six months ended June 30, 2022.</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a summary of the redeemable noncontrolling interests activity during the six months ended June 30:</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7180" w:type="dxa"/>
            <w:vAlign w:val="bottom"/>
            <w:gridSpan w:val="2"/>
          </w:tcPr>
          <w:p>
            <w:pPr>
              <w:spacing w:after="0"/>
              <w:rPr>
                <w:sz w:val="20"/>
                <w:szCs w:val="20"/>
                <w:color w:val="auto"/>
              </w:rPr>
            </w:pPr>
            <w:r>
              <w:rPr>
                <w:rFonts w:ascii="Arial" w:cs="Arial" w:eastAsia="Arial" w:hAnsi="Arial"/>
                <w:sz w:val="16"/>
                <w:szCs w:val="16"/>
                <w:b w:val="1"/>
                <w:bCs w:val="1"/>
                <w:color w:val="auto"/>
              </w:rPr>
              <w:t>(In millions)</w:t>
            </w:r>
          </w:p>
        </w:tc>
        <w:tc>
          <w:tcPr>
            <w:tcW w:w="460" w:type="dxa"/>
            <w:vAlign w:val="bottom"/>
          </w:tcPr>
          <w:p>
            <w:pPr>
              <w:spacing w:after="0"/>
              <w:rPr>
                <w:sz w:val="18"/>
                <w:szCs w:val="18"/>
                <w:color w:val="auto"/>
              </w:rPr>
            </w:pPr>
          </w:p>
        </w:tc>
        <w:tc>
          <w:tcPr>
            <w:tcW w:w="1520" w:type="dxa"/>
            <w:vAlign w:val="bottom"/>
          </w:tcPr>
          <w:p>
            <w:pPr>
              <w:jc w:val="right"/>
              <w:ind w:right="710"/>
              <w:spacing w:after="0"/>
              <w:rPr>
                <w:sz w:val="20"/>
                <w:szCs w:val="20"/>
                <w:color w:val="auto"/>
              </w:rPr>
            </w:pPr>
            <w:r>
              <w:rPr>
                <w:rFonts w:ascii="Arial" w:cs="Arial" w:eastAsia="Arial" w:hAnsi="Arial"/>
                <w:sz w:val="18"/>
                <w:szCs w:val="18"/>
                <w:b w:val="1"/>
                <w:bCs w:val="1"/>
                <w:color w:val="auto"/>
              </w:rPr>
              <w:t>2023</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20" w:type="dxa"/>
            <w:vAlign w:val="bottom"/>
          </w:tcPr>
          <w:p>
            <w:pPr>
              <w:jc w:val="right"/>
              <w:ind w:right="710"/>
              <w:spacing w:after="0"/>
              <w:rPr>
                <w:sz w:val="20"/>
                <w:szCs w:val="20"/>
                <w:color w:val="auto"/>
              </w:rPr>
            </w:pPr>
            <w:r>
              <w:rPr>
                <w:rFonts w:ascii="Arial" w:cs="Arial" w:eastAsia="Arial" w:hAnsi="Arial"/>
                <w:sz w:val="18"/>
                <w:szCs w:val="18"/>
                <w:b w:val="1"/>
                <w:bCs w:val="1"/>
                <w:color w:val="auto"/>
              </w:rPr>
              <w:t>2022</w:t>
            </w:r>
          </w:p>
        </w:tc>
      </w:tr>
      <w:tr>
        <w:trPr>
          <w:trHeight w:val="20"/>
        </w:trPr>
        <w:tc>
          <w:tcPr>
            <w:tcW w:w="20" w:type="dxa"/>
            <w:vAlign w:val="bottom"/>
          </w:tcPr>
          <w:p>
            <w:pPr>
              <w:spacing w:after="0" w:line="20" w:lineRule="exact"/>
              <w:rPr>
                <w:sz w:val="1"/>
                <w:szCs w:val="1"/>
                <w:color w:val="auto"/>
              </w:rPr>
            </w:pPr>
          </w:p>
        </w:tc>
        <w:tc>
          <w:tcPr>
            <w:tcW w:w="860" w:type="dxa"/>
            <w:vAlign w:val="bottom"/>
            <w:tcBorders>
              <w:top w:val="single" w:sz="8" w:color="auto"/>
            </w:tcBorders>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7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beginning of period</w:t>
            </w: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54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w:t>
            </w:r>
          </w:p>
        </w:tc>
      </w:tr>
      <w:tr>
        <w:trPr>
          <w:trHeight w:val="230"/>
        </w:trPr>
        <w:tc>
          <w:tcPr>
            <w:tcW w:w="20" w:type="dxa"/>
            <w:vAlign w:val="bottom"/>
          </w:tcPr>
          <w:p>
            <w:pPr>
              <w:spacing w:after="0"/>
              <w:rPr>
                <w:sz w:val="19"/>
                <w:szCs w:val="19"/>
                <w:color w:val="auto"/>
              </w:rPr>
            </w:pPr>
          </w:p>
        </w:tc>
        <w:tc>
          <w:tcPr>
            <w:tcW w:w="7180" w:type="dxa"/>
            <w:vAlign w:val="bottom"/>
            <w:gridSpan w:val="2"/>
          </w:tcPr>
          <w:p>
            <w:pPr>
              <w:spacing w:after="0"/>
              <w:rPr>
                <w:sz w:val="20"/>
                <w:szCs w:val="20"/>
                <w:color w:val="auto"/>
              </w:rPr>
            </w:pPr>
            <w:r>
              <w:rPr>
                <w:rFonts w:ascii="Arial" w:cs="Arial" w:eastAsia="Arial" w:hAnsi="Arial"/>
                <w:sz w:val="18"/>
                <w:szCs w:val="18"/>
                <w:color w:val="auto"/>
              </w:rPr>
              <w:t>Distributions paid to redeemable noncontrolling interests</w:t>
            </w:r>
          </w:p>
        </w:tc>
        <w:tc>
          <w:tcPr>
            <w:tcW w:w="4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29"/>
        </w:trPr>
        <w:tc>
          <w:tcPr>
            <w:tcW w:w="20" w:type="dxa"/>
            <w:vAlign w:val="bottom"/>
            <w:shd w:val="clear" w:color="auto" w:fill="CCEEFF"/>
          </w:tcPr>
          <w:p>
            <w:pPr>
              <w:spacing w:after="0"/>
              <w:rPr>
                <w:sz w:val="19"/>
                <w:szCs w:val="19"/>
                <w:color w:val="auto"/>
              </w:rPr>
            </w:pPr>
          </w:p>
        </w:tc>
        <w:tc>
          <w:tcPr>
            <w:tcW w:w="7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 of income</w:t>
            </w: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43"/>
        </w:trPr>
        <w:tc>
          <w:tcPr>
            <w:tcW w:w="20" w:type="dxa"/>
            <w:vAlign w:val="bottom"/>
            <w:tcBorders>
              <w:bottom w:val="single" w:sz="8" w:color="CCEEFF"/>
            </w:tcBorders>
          </w:tcPr>
          <w:p>
            <w:pPr>
              <w:spacing w:after="0"/>
              <w:rPr>
                <w:sz w:val="21"/>
                <w:szCs w:val="21"/>
                <w:color w:val="auto"/>
              </w:rPr>
            </w:pPr>
          </w:p>
        </w:tc>
        <w:tc>
          <w:tcPr>
            <w:tcW w:w="71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Derecognition of redeemable noncontrolling interest</w:t>
            </w:r>
          </w:p>
        </w:tc>
        <w:tc>
          <w:tcPr>
            <w:tcW w:w="46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7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 at end of period</w:t>
            </w: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63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Equity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provide changes in equity during the three and six months ended June 30, 2023 and 2022:</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0" w:type="dxa"/>
            <w:vAlign w:val="bottom"/>
            <w:tcBorders>
              <w:bottom w:val="single" w:sz="8" w:color="auto"/>
            </w:tcBorders>
            <w:gridSpan w:val="5"/>
          </w:tcPr>
          <w:p>
            <w:pPr>
              <w:jc w:val="right"/>
              <w:ind w:right="628"/>
              <w:spacing w:after="0"/>
              <w:rPr>
                <w:sz w:val="20"/>
                <w:szCs w:val="20"/>
                <w:color w:val="auto"/>
              </w:rPr>
            </w:pPr>
            <w:r>
              <w:rPr>
                <w:rFonts w:ascii="Arial" w:cs="Arial" w:eastAsia="Arial" w:hAnsi="Arial"/>
                <w:sz w:val="14"/>
                <w:szCs w:val="14"/>
                <w:b w:val="1"/>
                <w:bCs w:val="1"/>
                <w:color w:val="auto"/>
              </w:rPr>
              <w:t>Fiserv, Inc. Shareholders’ Equity</w:t>
            </w: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260" w:type="dxa"/>
            <w:vAlign w:val="bottom"/>
            <w:gridSpan w:val="2"/>
          </w:tcPr>
          <w:p>
            <w:pPr>
              <w:spacing w:after="0"/>
              <w:rPr>
                <w:sz w:val="20"/>
                <w:szCs w:val="20"/>
                <w:color w:val="auto"/>
              </w:rPr>
            </w:pPr>
            <w:r>
              <w:rPr>
                <w:rFonts w:ascii="Arial" w:cs="Arial" w:eastAsia="Arial" w:hAnsi="Arial"/>
                <w:sz w:val="14"/>
                <w:szCs w:val="14"/>
                <w:b w:val="1"/>
                <w:bCs w:val="1"/>
                <w:color w:val="auto"/>
              </w:rPr>
              <w:t>Three Months Ended</w:t>
            </w:r>
          </w:p>
        </w:tc>
        <w:tc>
          <w:tcPr>
            <w:tcW w:w="1680" w:type="dxa"/>
            <w:vAlign w:val="bottom"/>
            <w:gridSpan w:val="2"/>
            <w:vMerge w:val="restart"/>
          </w:tcPr>
          <w:p>
            <w:pPr>
              <w:jc w:val="right"/>
              <w:ind w:right="208"/>
              <w:spacing w:after="0"/>
              <w:rPr>
                <w:sz w:val="20"/>
                <w:szCs w:val="20"/>
                <w:color w:val="auto"/>
              </w:rPr>
            </w:pPr>
            <w:r>
              <w:rPr>
                <w:rFonts w:ascii="Arial" w:cs="Arial" w:eastAsia="Arial" w:hAnsi="Arial"/>
                <w:sz w:val="14"/>
                <w:szCs w:val="14"/>
                <w:b w:val="1"/>
                <w:bCs w:val="1"/>
                <w:color w:val="auto"/>
              </w:rPr>
              <w:t>Number of Shares</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260" w:type="dxa"/>
            <w:vAlign w:val="bottom"/>
            <w:gridSpan w:val="2"/>
          </w:tcPr>
          <w:p>
            <w:pPr>
              <w:spacing w:after="0"/>
              <w:rPr>
                <w:sz w:val="20"/>
                <w:szCs w:val="20"/>
                <w:color w:val="auto"/>
              </w:rPr>
            </w:pPr>
            <w:r>
              <w:rPr>
                <w:rFonts w:ascii="Arial" w:cs="Arial" w:eastAsia="Arial" w:hAnsi="Arial"/>
                <w:sz w:val="14"/>
                <w:szCs w:val="14"/>
                <w:b w:val="1"/>
                <w:bCs w:val="1"/>
                <w:color w:val="auto"/>
              </w:rPr>
              <w:t>June 30, 2023</w:t>
            </w:r>
          </w:p>
        </w:tc>
        <w:tc>
          <w:tcPr>
            <w:tcW w:w="1680" w:type="dxa"/>
            <w:vAlign w:val="bottom"/>
            <w:tcBorders>
              <w:bottom w:val="single" w:sz="8" w:color="auto"/>
            </w:tcBorders>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Additional</w:t>
            </w:r>
          </w:p>
        </w:tc>
        <w:tc>
          <w:tcPr>
            <w:tcW w:w="140" w:type="dxa"/>
            <w:vAlign w:val="bottom"/>
          </w:tcPr>
          <w:p>
            <w:pPr>
              <w:spacing w:after="0"/>
              <w:rPr>
                <w:sz w:val="12"/>
                <w:szCs w:val="12"/>
                <w:color w:val="auto"/>
              </w:rPr>
            </w:pPr>
          </w:p>
        </w:tc>
        <w:tc>
          <w:tcPr>
            <w:tcW w:w="1200" w:type="dxa"/>
            <w:vAlign w:val="bottom"/>
          </w:tcPr>
          <w:p>
            <w:pPr>
              <w:jc w:val="center"/>
              <w:ind w:right="68"/>
              <w:spacing w:after="0" w:line="139" w:lineRule="exact"/>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88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Common</w:t>
            </w:r>
          </w:p>
        </w:tc>
        <w:tc>
          <w:tcPr>
            <w:tcW w:w="80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Treasury</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w w:val="95"/>
              </w:rPr>
              <w:t>Common</w:t>
            </w:r>
          </w:p>
        </w:tc>
        <w:tc>
          <w:tcPr>
            <w:tcW w:w="18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jc w:val="center"/>
              <w:ind w:right="68"/>
              <w:spacing w:after="0" w:line="145" w:lineRule="exact"/>
              <w:rPr>
                <w:sz w:val="20"/>
                <w:szCs w:val="20"/>
                <w:color w:val="auto"/>
              </w:rPr>
            </w:pPr>
            <w:r>
              <w:rPr>
                <w:rFonts w:ascii="Arial" w:cs="Arial" w:eastAsia="Arial" w:hAnsi="Arial"/>
                <w:sz w:val="14"/>
                <w:szCs w:val="14"/>
                <w:b w:val="1"/>
                <w:bCs w:val="1"/>
                <w:color w:val="auto"/>
              </w:rPr>
              <w:t>Other</w:t>
            </w:r>
          </w:p>
        </w:tc>
        <w:tc>
          <w:tcPr>
            <w:tcW w:w="120" w:type="dxa"/>
            <w:vAlign w:val="bottom"/>
          </w:tcPr>
          <w:p>
            <w:pPr>
              <w:spacing w:after="0"/>
              <w:rPr>
                <w:sz w:val="12"/>
                <w:szCs w:val="12"/>
                <w:color w:val="auto"/>
              </w:rPr>
            </w:pPr>
          </w:p>
        </w:tc>
        <w:tc>
          <w:tcPr>
            <w:tcW w:w="70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w w:val="94"/>
              </w:rPr>
              <w:t>Retained</w:t>
            </w:r>
          </w:p>
        </w:tc>
        <w:tc>
          <w:tcPr>
            <w:tcW w:w="140" w:type="dxa"/>
            <w:vAlign w:val="bottom"/>
          </w:tcPr>
          <w:p>
            <w:pPr>
              <w:spacing w:after="0"/>
              <w:rPr>
                <w:sz w:val="12"/>
                <w:szCs w:val="12"/>
                <w:color w:val="auto"/>
              </w:rPr>
            </w:pPr>
          </w:p>
        </w:tc>
        <w:tc>
          <w:tcPr>
            <w:tcW w:w="72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w w:val="94"/>
              </w:rPr>
              <w:t>Treasury</w:t>
            </w:r>
          </w:p>
        </w:tc>
        <w:tc>
          <w:tcPr>
            <w:tcW w:w="120" w:type="dxa"/>
            <w:vAlign w:val="bottom"/>
          </w:tcPr>
          <w:p>
            <w:pPr>
              <w:spacing w:after="0"/>
              <w:rPr>
                <w:sz w:val="12"/>
                <w:szCs w:val="12"/>
                <w:color w:val="auto"/>
              </w:rPr>
            </w:pPr>
          </w:p>
        </w:tc>
        <w:tc>
          <w:tcPr>
            <w:tcW w:w="116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w w:val="96"/>
              </w:rPr>
              <w:t>Noncontrolling</w:t>
            </w: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jc w:val="right"/>
              <w:ind w:right="248"/>
              <w:spacing w:after="0" w:line="139" w:lineRule="exact"/>
              <w:rPr>
                <w:sz w:val="20"/>
                <w:szCs w:val="20"/>
                <w:color w:val="auto"/>
              </w:rPr>
            </w:pPr>
            <w:r>
              <w:rPr>
                <w:rFonts w:ascii="Arial" w:cs="Arial" w:eastAsia="Arial" w:hAnsi="Arial"/>
                <w:sz w:val="14"/>
                <w:szCs w:val="14"/>
                <w:b w:val="1"/>
                <w:bCs w:val="1"/>
                <w:color w:val="auto"/>
              </w:rPr>
              <w:t>Paid-In</w:t>
            </w:r>
          </w:p>
        </w:tc>
        <w:tc>
          <w:tcPr>
            <w:tcW w:w="140" w:type="dxa"/>
            <w:vAlign w:val="bottom"/>
          </w:tcPr>
          <w:p>
            <w:pPr>
              <w:spacing w:after="0"/>
              <w:rPr>
                <w:sz w:val="12"/>
                <w:szCs w:val="12"/>
                <w:color w:val="auto"/>
              </w:rPr>
            </w:pPr>
          </w:p>
        </w:tc>
        <w:tc>
          <w:tcPr>
            <w:tcW w:w="1200" w:type="dxa"/>
            <w:vAlign w:val="bottom"/>
          </w:tcPr>
          <w:p>
            <w:pPr>
              <w:jc w:val="center"/>
              <w:ind w:right="68"/>
              <w:spacing w:after="0" w:line="139" w:lineRule="exact"/>
              <w:rPr>
                <w:sz w:val="20"/>
                <w:szCs w:val="20"/>
                <w:color w:val="auto"/>
              </w:rPr>
            </w:pPr>
            <w:r>
              <w:rPr>
                <w:rFonts w:ascii="Arial" w:cs="Arial" w:eastAsia="Arial" w:hAnsi="Arial"/>
                <w:sz w:val="14"/>
                <w:szCs w:val="14"/>
                <w:b w:val="1"/>
                <w:bCs w:val="1"/>
                <w:color w:val="auto"/>
                <w:w w:val="89"/>
              </w:rPr>
              <w:t>Comprehensive</w:t>
            </w:r>
          </w:p>
        </w:tc>
        <w:tc>
          <w:tcPr>
            <w:tcW w:w="12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260" w:type="dxa"/>
            <w:vAlign w:val="bottom"/>
            <w:gridSpan w:val="2"/>
          </w:tcPr>
          <w:p>
            <w:pPr>
              <w:spacing w:after="0"/>
              <w:rPr>
                <w:sz w:val="20"/>
                <w:szCs w:val="20"/>
                <w:color w:val="auto"/>
              </w:rPr>
            </w:pPr>
            <w:r>
              <w:rPr>
                <w:rFonts w:ascii="Arial" w:cs="Arial" w:eastAsia="Arial" w:hAnsi="Arial"/>
                <w:sz w:val="14"/>
                <w:szCs w:val="14"/>
                <w:b w:val="1"/>
                <w:bCs w:val="1"/>
                <w:color w:val="auto"/>
              </w:rPr>
              <w:t>(In millions)</w:t>
            </w:r>
          </w:p>
        </w:tc>
        <w:tc>
          <w:tcPr>
            <w:tcW w:w="880" w:type="dxa"/>
            <w:vAlign w:val="bottom"/>
          </w:tcPr>
          <w:p>
            <w:pPr>
              <w:jc w:val="right"/>
              <w:ind w:right="188"/>
              <w:spacing w:after="0"/>
              <w:rPr>
                <w:sz w:val="20"/>
                <w:szCs w:val="20"/>
                <w:color w:val="auto"/>
              </w:rPr>
            </w:pPr>
            <w:r>
              <w:rPr>
                <w:rFonts w:ascii="Arial" w:cs="Arial" w:eastAsia="Arial" w:hAnsi="Arial"/>
                <w:sz w:val="14"/>
                <w:szCs w:val="14"/>
                <w:b w:val="1"/>
                <w:bCs w:val="1"/>
                <w:color w:val="auto"/>
              </w:rPr>
              <w:t>Shares</w:t>
            </w:r>
          </w:p>
        </w:tc>
        <w:tc>
          <w:tcPr>
            <w:tcW w:w="800" w:type="dxa"/>
            <w:vAlign w:val="bottom"/>
          </w:tcPr>
          <w:p>
            <w:pPr>
              <w:jc w:val="right"/>
              <w:ind w:right="148"/>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ind w:right="168"/>
              <w:spacing w:after="0"/>
              <w:rPr>
                <w:sz w:val="20"/>
                <w:szCs w:val="20"/>
                <w:color w:val="auto"/>
              </w:rPr>
            </w:pPr>
            <w:r>
              <w:rPr>
                <w:rFonts w:ascii="Arial" w:cs="Arial" w:eastAsia="Arial" w:hAnsi="Arial"/>
                <w:sz w:val="14"/>
                <w:szCs w:val="14"/>
                <w:b w:val="1"/>
                <w:bCs w:val="1"/>
                <w:color w:val="auto"/>
              </w:rPr>
              <w:t>Stock</w:t>
            </w:r>
          </w:p>
        </w:tc>
        <w:tc>
          <w:tcPr>
            <w:tcW w:w="180" w:type="dxa"/>
            <w:vAlign w:val="bottom"/>
          </w:tcPr>
          <w:p>
            <w:pPr>
              <w:spacing w:after="0"/>
              <w:rPr>
                <w:sz w:val="14"/>
                <w:szCs w:val="14"/>
                <w:color w:val="auto"/>
              </w:rPr>
            </w:pPr>
          </w:p>
        </w:tc>
        <w:tc>
          <w:tcPr>
            <w:tcW w:w="940" w:type="dxa"/>
            <w:vAlign w:val="bottom"/>
          </w:tcPr>
          <w:p>
            <w:pPr>
              <w:jc w:val="right"/>
              <w:ind w:right="248"/>
              <w:spacing w:after="0"/>
              <w:rPr>
                <w:sz w:val="20"/>
                <w:szCs w:val="20"/>
                <w:color w:val="auto"/>
              </w:rPr>
            </w:pPr>
            <w:r>
              <w:rPr>
                <w:rFonts w:ascii="Arial" w:cs="Arial" w:eastAsia="Arial" w:hAnsi="Arial"/>
                <w:sz w:val="14"/>
                <w:szCs w:val="14"/>
                <w:b w:val="1"/>
                <w:bCs w:val="1"/>
                <w:color w:val="auto"/>
              </w:rPr>
              <w:t>Capital</w:t>
            </w:r>
          </w:p>
        </w:tc>
        <w:tc>
          <w:tcPr>
            <w:tcW w:w="140" w:type="dxa"/>
            <w:vAlign w:val="bottom"/>
          </w:tcPr>
          <w:p>
            <w:pPr>
              <w:spacing w:after="0"/>
              <w:rPr>
                <w:sz w:val="14"/>
                <w:szCs w:val="14"/>
                <w:color w:val="auto"/>
              </w:rPr>
            </w:pPr>
          </w:p>
        </w:tc>
        <w:tc>
          <w:tcPr>
            <w:tcW w:w="1200" w:type="dxa"/>
            <w:vAlign w:val="bottom"/>
          </w:tcPr>
          <w:p>
            <w:pPr>
              <w:jc w:val="center"/>
              <w:ind w:right="88"/>
              <w:spacing w:after="0"/>
              <w:rPr>
                <w:sz w:val="20"/>
                <w:szCs w:val="20"/>
                <w:color w:val="auto"/>
              </w:rPr>
            </w:pPr>
            <w:r>
              <w:rPr>
                <w:rFonts w:ascii="Arial" w:cs="Arial" w:eastAsia="Arial" w:hAnsi="Arial"/>
                <w:sz w:val="14"/>
                <w:szCs w:val="14"/>
                <w:b w:val="1"/>
                <w:bCs w:val="1"/>
                <w:color w:val="auto"/>
                <w:w w:val="85"/>
              </w:rPr>
              <w:t>Loss</w:t>
            </w:r>
          </w:p>
        </w:tc>
        <w:tc>
          <w:tcPr>
            <w:tcW w:w="120" w:type="dxa"/>
            <w:vAlign w:val="bottom"/>
          </w:tcPr>
          <w:p>
            <w:pPr>
              <w:spacing w:after="0"/>
              <w:rPr>
                <w:sz w:val="14"/>
                <w:szCs w:val="14"/>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b w:val="1"/>
                <w:bCs w:val="1"/>
                <w:color w:val="auto"/>
                <w:w w:val="93"/>
              </w:rPr>
              <w:t>Earnings</w:t>
            </w:r>
          </w:p>
        </w:tc>
        <w:tc>
          <w:tcPr>
            <w:tcW w:w="140" w:type="dxa"/>
            <w:vAlign w:val="bottom"/>
          </w:tcPr>
          <w:p>
            <w:pPr>
              <w:spacing w:after="0"/>
              <w:rPr>
                <w:sz w:val="14"/>
                <w:szCs w:val="14"/>
                <w:color w:val="auto"/>
              </w:rPr>
            </w:pPr>
          </w:p>
        </w:tc>
        <w:tc>
          <w:tcPr>
            <w:tcW w:w="720" w:type="dxa"/>
            <w:vAlign w:val="bottom"/>
          </w:tcPr>
          <w:p>
            <w:pPr>
              <w:jc w:val="right"/>
              <w:ind w:right="188"/>
              <w:spacing w:after="0"/>
              <w:rPr>
                <w:sz w:val="20"/>
                <w:szCs w:val="20"/>
                <w:color w:val="auto"/>
              </w:rPr>
            </w:pPr>
            <w:r>
              <w:rPr>
                <w:rFonts w:ascii="Arial" w:cs="Arial" w:eastAsia="Arial" w:hAnsi="Arial"/>
                <w:sz w:val="14"/>
                <w:szCs w:val="14"/>
                <w:b w:val="1"/>
                <w:bCs w:val="1"/>
                <w:color w:val="auto"/>
              </w:rPr>
              <w:t>Stock</w:t>
            </w:r>
          </w:p>
        </w:tc>
        <w:tc>
          <w:tcPr>
            <w:tcW w:w="120" w:type="dxa"/>
            <w:vAlign w:val="bottom"/>
          </w:tcPr>
          <w:p>
            <w:pPr>
              <w:spacing w:after="0"/>
              <w:rPr>
                <w:sz w:val="14"/>
                <w:szCs w:val="14"/>
                <w:color w:val="auto"/>
              </w:rPr>
            </w:pPr>
          </w:p>
        </w:tc>
        <w:tc>
          <w:tcPr>
            <w:tcW w:w="1160" w:type="dxa"/>
            <w:vAlign w:val="bottom"/>
          </w:tcPr>
          <w:p>
            <w:pPr>
              <w:jc w:val="right"/>
              <w:ind w:right="308"/>
              <w:spacing w:after="0"/>
              <w:rPr>
                <w:sz w:val="20"/>
                <w:szCs w:val="20"/>
                <w:color w:val="auto"/>
              </w:rPr>
            </w:pPr>
            <w:r>
              <w:rPr>
                <w:rFonts w:ascii="Arial" w:cs="Arial" w:eastAsia="Arial" w:hAnsi="Arial"/>
                <w:sz w:val="14"/>
                <w:szCs w:val="14"/>
                <w:b w:val="1"/>
                <w:bCs w:val="1"/>
                <w:color w:val="auto"/>
              </w:rPr>
              <w:t>Interests</w:t>
            </w:r>
          </w:p>
        </w:tc>
        <w:tc>
          <w:tcPr>
            <w:tcW w:w="900" w:type="dxa"/>
            <w:vAlign w:val="bottom"/>
            <w:gridSpan w:val="2"/>
          </w:tcPr>
          <w:p>
            <w:pPr>
              <w:jc w:val="right"/>
              <w:spacing w:after="0"/>
              <w:rPr>
                <w:sz w:val="20"/>
                <w:szCs w:val="20"/>
                <w:color w:val="auto"/>
              </w:rPr>
            </w:pPr>
            <w:r>
              <w:rPr>
                <w:rFonts w:ascii="Arial" w:cs="Arial" w:eastAsia="Arial" w:hAnsi="Arial"/>
                <w:sz w:val="14"/>
                <w:szCs w:val="14"/>
                <w:b w:val="1"/>
                <w:bCs w:val="1"/>
                <w:color w:val="auto"/>
              </w:rPr>
              <w:t>Total Equity</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15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22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Balance at March 31, 2023</w:t>
            </w: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784</w:t>
            </w: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165</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22,946</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(1,054)</w:t>
            </w:r>
          </w:p>
        </w:tc>
        <w:tc>
          <w:tcPr>
            <w:tcW w:w="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17,939</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(9,762)</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717</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30,794</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260" w:type="dxa"/>
            <w:vAlign w:val="bottom"/>
            <w:gridSpan w:val="2"/>
          </w:tcPr>
          <w:p>
            <w:pPr>
              <w:spacing w:after="0"/>
              <w:rPr>
                <w:sz w:val="20"/>
                <w:szCs w:val="20"/>
                <w:color w:val="auto"/>
              </w:rPr>
            </w:pPr>
            <w:r>
              <w:rPr>
                <w:rFonts w:ascii="Arial" w:cs="Arial" w:eastAsia="Arial" w:hAnsi="Arial"/>
                <w:sz w:val="14"/>
                <w:szCs w:val="14"/>
                <w:color w:val="auto"/>
              </w:rPr>
              <w:t xml:space="preserve">Net income </w:t>
            </w:r>
            <w:r>
              <w:rPr>
                <w:rFonts w:ascii="Arial" w:cs="Arial" w:eastAsia="Arial" w:hAnsi="Arial"/>
                <w:sz w:val="9"/>
                <w:szCs w:val="9"/>
                <w:color w:val="auto"/>
              </w:rPr>
              <w:t>(1)</w:t>
            </w:r>
          </w:p>
        </w:tc>
        <w:tc>
          <w:tcPr>
            <w:tcW w:w="8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683</w:t>
            </w: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6</w:t>
            </w:r>
          </w:p>
        </w:tc>
        <w:tc>
          <w:tcPr>
            <w:tcW w:w="2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689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20" w:type="dxa"/>
            <w:vAlign w:val="bottom"/>
            <w:shd w:val="clear" w:color="auto" w:fill="CCEEFF"/>
          </w:tcPr>
          <w:p>
            <w:pPr>
              <w:spacing w:after="0"/>
              <w:rPr>
                <w:sz w:val="12"/>
                <w:szCs w:val="12"/>
                <w:color w:val="auto"/>
              </w:rPr>
            </w:pPr>
          </w:p>
        </w:tc>
        <w:tc>
          <w:tcPr>
            <w:tcW w:w="226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Distributions paid to noncontrolling</w:t>
            </w:r>
          </w:p>
        </w:tc>
        <w:tc>
          <w:tcPr>
            <w:tcW w:w="8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260" w:type="dxa"/>
            <w:vAlign w:val="bottom"/>
            <w:shd w:val="clear" w:color="auto" w:fill="CCEEFF"/>
          </w:tcPr>
          <w:p>
            <w:pPr>
              <w:spacing w:after="0"/>
              <w:rPr>
                <w:sz w:val="12"/>
                <w:szCs w:val="12"/>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99"/>
        </w:trPr>
        <w:tc>
          <w:tcPr>
            <w:tcW w:w="20" w:type="dxa"/>
            <w:vAlign w:val="bottom"/>
            <w:shd w:val="clear" w:color="auto" w:fill="CCEEFF"/>
          </w:tcPr>
          <w:p>
            <w:pPr>
              <w:spacing w:after="0"/>
              <w:rPr>
                <w:sz w:val="17"/>
                <w:szCs w:val="17"/>
                <w:color w:val="auto"/>
              </w:rPr>
            </w:pPr>
          </w:p>
        </w:tc>
        <w:tc>
          <w:tcPr>
            <w:tcW w:w="2260" w:type="dxa"/>
            <w:vAlign w:val="bottom"/>
            <w:gridSpan w:val="2"/>
            <w:shd w:val="clear" w:color="auto" w:fill="CCEEFF"/>
          </w:tcPr>
          <w:p>
            <w:pPr>
              <w:ind w:left="160"/>
              <w:spacing w:after="0" w:line="200" w:lineRule="exact"/>
              <w:rPr>
                <w:sz w:val="20"/>
                <w:szCs w:val="20"/>
                <w:color w:val="auto"/>
              </w:rPr>
            </w:pPr>
            <w:r>
              <w:rPr>
                <w:rFonts w:ascii="Arial" w:cs="Arial" w:eastAsia="Arial" w:hAnsi="Arial"/>
                <w:sz w:val="14"/>
                <w:szCs w:val="14"/>
                <w:color w:val="auto"/>
              </w:rPr>
              <w:t xml:space="preserve">interests </w:t>
            </w:r>
            <w:r>
              <w:rPr>
                <w:rFonts w:ascii="Arial" w:cs="Arial" w:eastAsia="Arial" w:hAnsi="Arial"/>
                <w:sz w:val="18"/>
                <w:szCs w:val="18"/>
                <w:color w:val="auto"/>
                <w:vertAlign w:val="superscript"/>
              </w:rPr>
              <w:t>(2)</w:t>
            </w:r>
          </w:p>
        </w:tc>
        <w:tc>
          <w:tcPr>
            <w:tcW w:w="8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vMerge w:val="continue"/>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260" w:type="dxa"/>
            <w:vAlign w:val="bottom"/>
            <w:gridSpan w:val="2"/>
          </w:tcPr>
          <w:p>
            <w:pPr>
              <w:spacing w:after="0"/>
              <w:rPr>
                <w:sz w:val="20"/>
                <w:szCs w:val="20"/>
                <w:color w:val="auto"/>
              </w:rPr>
            </w:pPr>
            <w:r>
              <w:rPr>
                <w:rFonts w:ascii="Arial" w:cs="Arial" w:eastAsia="Arial" w:hAnsi="Arial"/>
                <w:sz w:val="14"/>
                <w:szCs w:val="14"/>
                <w:color w:val="auto"/>
              </w:rPr>
              <w:t>Other comprehensive income</w:t>
            </w:r>
          </w:p>
        </w:tc>
        <w:tc>
          <w:tcPr>
            <w:tcW w:w="8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154</w:t>
            </w: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w:t>
            </w:r>
          </w:p>
        </w:tc>
        <w:tc>
          <w:tcPr>
            <w:tcW w:w="2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Borders>
              <w:bottom w:val="single" w:sz="8" w:color="CCEEFF"/>
            </w:tcBorders>
            <w:shd w:val="clear" w:color="auto" w:fill="CCEEFF"/>
          </w:tcPr>
          <w:p>
            <w:pPr>
              <w:spacing w:after="0"/>
              <w:rPr>
                <w:sz w:val="15"/>
                <w:szCs w:val="15"/>
                <w:color w:val="auto"/>
              </w:rPr>
            </w:pPr>
          </w:p>
        </w:tc>
        <w:tc>
          <w:tcPr>
            <w:tcW w:w="22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Share-based compensation</w:t>
            </w:r>
          </w:p>
        </w:tc>
        <w:tc>
          <w:tcPr>
            <w:tcW w:w="88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106</w:t>
            </w:r>
          </w:p>
        </w:tc>
        <w:tc>
          <w:tcPr>
            <w:tcW w:w="14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106</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260" w:type="dxa"/>
            <w:vAlign w:val="bottom"/>
            <w:gridSpan w:val="2"/>
          </w:tcPr>
          <w:p>
            <w:pPr>
              <w:spacing w:after="0"/>
              <w:rPr>
                <w:sz w:val="20"/>
                <w:szCs w:val="20"/>
                <w:color w:val="auto"/>
              </w:rPr>
            </w:pPr>
            <w:r>
              <w:rPr>
                <w:rFonts w:ascii="Arial" w:cs="Arial" w:eastAsia="Arial" w:hAnsi="Arial"/>
                <w:sz w:val="14"/>
                <w:szCs w:val="14"/>
                <w:color w:val="auto"/>
              </w:rPr>
              <w:t>Shares issued under stock plans</w:t>
            </w:r>
          </w:p>
        </w:tc>
        <w:tc>
          <w:tcPr>
            <w:tcW w:w="8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(64)</w:t>
            </w: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45</w:t>
            </w: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206"/>
        </w:trPr>
        <w:tc>
          <w:tcPr>
            <w:tcW w:w="20" w:type="dxa"/>
            <w:vAlign w:val="bottom"/>
            <w:tcBorders>
              <w:bottom w:val="single" w:sz="8" w:color="CCEEFF"/>
            </w:tcBorders>
            <w:shd w:val="clear" w:color="auto" w:fill="CCEEFF"/>
          </w:tcPr>
          <w:p>
            <w:pPr>
              <w:spacing w:after="0"/>
              <w:rPr>
                <w:sz w:val="17"/>
                <w:szCs w:val="17"/>
                <w:color w:val="auto"/>
              </w:rPr>
            </w:pPr>
          </w:p>
        </w:tc>
        <w:tc>
          <w:tcPr>
            <w:tcW w:w="22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Purchases of treasury stock</w:t>
            </w:r>
          </w:p>
        </w:tc>
        <w:tc>
          <w:tcPr>
            <w:tcW w:w="88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9</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(1,010)</w:t>
            </w:r>
          </w:p>
        </w:tc>
        <w:tc>
          <w:tcPr>
            <w:tcW w:w="12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(1,010)</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2260" w:type="dxa"/>
            <w:vAlign w:val="bottom"/>
            <w:gridSpan w:val="2"/>
          </w:tcPr>
          <w:p>
            <w:pPr>
              <w:spacing w:after="0"/>
              <w:rPr>
                <w:sz w:val="20"/>
                <w:szCs w:val="20"/>
                <w:color w:val="auto"/>
              </w:rPr>
            </w:pPr>
            <w:r>
              <w:rPr>
                <w:rFonts w:ascii="Arial" w:cs="Arial" w:eastAsia="Arial" w:hAnsi="Arial"/>
                <w:sz w:val="14"/>
                <w:szCs w:val="14"/>
                <w:color w:val="auto"/>
              </w:rPr>
              <w:t>Balance at June 30, 2023</w:t>
            </w:r>
          </w:p>
        </w:tc>
        <w:tc>
          <w:tcPr>
            <w:tcW w:w="8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784</w:t>
            </w:r>
          </w:p>
        </w:tc>
        <w:tc>
          <w:tcPr>
            <w:tcW w:w="8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173</w:t>
            </w:r>
          </w:p>
        </w:tc>
        <w:tc>
          <w:tcPr>
            <w:tcW w:w="12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w:t>
            </w: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22,988</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(900)</w:t>
            </w: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18,622</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(10,727)</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725</w:t>
            </w:r>
          </w:p>
        </w:tc>
        <w:tc>
          <w:tcPr>
            <w:tcW w:w="26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30,716</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71" w:lineRule="exact"/>
        <w:rPr>
          <w:sz w:val="20"/>
          <w:szCs w:val="20"/>
          <w:color w:val="auto"/>
        </w:rPr>
      </w:pPr>
    </w:p>
    <w:p>
      <w:pPr>
        <w:ind w:left="660" w:right="140" w:hanging="328"/>
        <w:spacing w:after="0" w:line="230" w:lineRule="auto"/>
        <w:tabs>
          <w:tab w:leader="none" w:pos="660" w:val="left"/>
        </w:tabs>
        <w:numPr>
          <w:ilvl w:val="0"/>
          <w:numId w:val="4"/>
        </w:numPr>
        <w:rPr>
          <w:rFonts w:ascii="Arial" w:cs="Arial" w:eastAsia="Arial" w:hAnsi="Arial"/>
          <w:sz w:val="21"/>
          <w:szCs w:val="21"/>
          <w:color w:val="auto"/>
          <w:vertAlign w:val="superscript"/>
        </w:rPr>
      </w:pPr>
      <w:r>
        <w:rPr>
          <w:rFonts w:ascii="Arial" w:cs="Arial" w:eastAsia="Arial" w:hAnsi="Arial"/>
          <w:sz w:val="16"/>
          <w:szCs w:val="16"/>
          <w:color w:val="auto"/>
        </w:rPr>
        <w:t>The total net income presented in equity for the three months ended June 30, 2023 is different than the amount presented in the consolidated statement of income due to the net income attributable to redeemable noncontrolling interests of $6 million not included in equity.</w:t>
      </w:r>
    </w:p>
    <w:p>
      <w:pPr>
        <w:spacing w:after="0" w:line="37" w:lineRule="exact"/>
        <w:rPr>
          <w:rFonts w:ascii="Arial" w:cs="Arial" w:eastAsia="Arial" w:hAnsi="Arial"/>
          <w:sz w:val="21"/>
          <w:szCs w:val="21"/>
          <w:color w:val="auto"/>
          <w:vertAlign w:val="superscript"/>
        </w:rPr>
      </w:pPr>
    </w:p>
    <w:p>
      <w:pPr>
        <w:ind w:left="660" w:right="560" w:hanging="328"/>
        <w:spacing w:after="0" w:line="223" w:lineRule="auto"/>
        <w:tabs>
          <w:tab w:leader="none" w:pos="660" w:val="left"/>
        </w:tabs>
        <w:numPr>
          <w:ilvl w:val="0"/>
          <w:numId w:val="4"/>
        </w:numPr>
        <w:rPr>
          <w:rFonts w:ascii="Arial" w:cs="Arial" w:eastAsia="Arial" w:hAnsi="Arial"/>
          <w:sz w:val="21"/>
          <w:szCs w:val="21"/>
          <w:color w:val="auto"/>
          <w:vertAlign w:val="superscript"/>
        </w:rPr>
      </w:pPr>
      <w:r>
        <w:rPr>
          <w:rFonts w:ascii="Arial" w:cs="Arial" w:eastAsia="Arial" w:hAnsi="Arial"/>
          <w:sz w:val="16"/>
          <w:szCs w:val="16"/>
          <w:color w:val="auto"/>
        </w:rPr>
        <w:t>The total distributions presented in equity for the three months ended June 30, 2023 excludes $5 million in distributions paid to redeemable noncontrolling interests not included in equity.</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sz w:val="20"/>
          <w:szCs w:val="20"/>
          <w:color w:val="auto"/>
        </w:rPr>
      </w:pPr>
      <w:r>
        <w:rPr>
          <w:rFonts w:ascii="Arial" w:cs="Arial" w:eastAsia="Arial" w:hAnsi="Arial"/>
          <w:sz w:val="16"/>
          <w:szCs w:val="16"/>
          <w:u w:val="single" w:color="auto"/>
          <w:color w:val="0000FF"/>
        </w:rPr>
        <w:t>Table of Contents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20" w:right="760"/>
        <w:spacing w:after="0" w:line="297" w:lineRule="auto"/>
        <w:rPr>
          <w:sz w:val="20"/>
          <w:szCs w:val="20"/>
          <w:color w:val="auto"/>
        </w:rPr>
      </w:pPr>
      <w:r>
        <w:rPr>
          <w:rFonts w:ascii="Arial" w:cs="Arial" w:eastAsia="Arial" w:hAnsi="Arial"/>
          <w:sz w:val="13"/>
          <w:szCs w:val="13"/>
          <w:b w:val="1"/>
          <w:bCs w:val="1"/>
          <w:color w:val="auto"/>
        </w:rPr>
        <w:t>Three Months Ended June 30, 2022</w:t>
      </w:r>
    </w:p>
    <w:p>
      <w:pPr>
        <w:spacing w:after="0" w:line="200" w:lineRule="exact"/>
        <w:rPr>
          <w:sz w:val="20"/>
          <w:szCs w:val="20"/>
          <w:color w:val="auto"/>
        </w:rPr>
      </w:pPr>
    </w:p>
    <w:p>
      <w:pPr>
        <w:spacing w:after="0" w:line="254" w:lineRule="exact"/>
        <w:rPr>
          <w:sz w:val="20"/>
          <w:szCs w:val="20"/>
          <w:color w:val="auto"/>
        </w:rPr>
      </w:pPr>
    </w:p>
    <w:p>
      <w:pPr>
        <w:ind w:left="20"/>
        <w:spacing w:after="0"/>
        <w:rPr>
          <w:sz w:val="20"/>
          <w:szCs w:val="20"/>
          <w:color w:val="auto"/>
        </w:rPr>
      </w:pPr>
      <w:r>
        <w:rPr>
          <w:rFonts w:ascii="Arial" w:cs="Arial" w:eastAsia="Arial" w:hAnsi="Arial"/>
          <w:sz w:val="14"/>
          <w:szCs w:val="14"/>
          <w:b w:val="1"/>
          <w:bCs w:val="1"/>
          <w:u w:val="single" w:color="auto"/>
          <w:color w:val="auto"/>
        </w:rPr>
        <w:t>(In millions)</w:t>
      </w:r>
    </w:p>
    <w:p>
      <w:pPr>
        <w:spacing w:after="0" w:line="46" w:lineRule="exact"/>
        <w:rPr>
          <w:sz w:val="20"/>
          <w:szCs w:val="20"/>
          <w:color w:val="auto"/>
        </w:rPr>
      </w:pPr>
    </w:p>
    <w:p>
      <w:pPr>
        <w:ind w:left="20" w:right="520"/>
        <w:spacing w:after="0" w:line="291" w:lineRule="auto"/>
        <w:rPr>
          <w:sz w:val="20"/>
          <w:szCs w:val="20"/>
          <w:color w:val="auto"/>
        </w:rPr>
      </w:pPr>
      <w:r>
        <w:rPr>
          <w:rFonts w:ascii="Arial" w:cs="Arial" w:eastAsia="Arial" w:hAnsi="Arial"/>
          <w:sz w:val="14"/>
          <w:szCs w:val="14"/>
          <w:color w:val="auto"/>
        </w:rPr>
        <w:t xml:space="preserve">Balance at March 31, 2022 Net income </w:t>
      </w:r>
      <w:r>
        <w:rPr>
          <w:rFonts w:ascii="Arial" w:cs="Arial" w:eastAsia="Arial" w:hAnsi="Arial"/>
          <w:sz w:val="9"/>
          <w:szCs w:val="9"/>
          <w:color w:val="auto"/>
        </w:rPr>
        <w:t>(1)</w:t>
      </w:r>
    </w:p>
    <w:p>
      <w:pPr>
        <w:spacing w:after="0" w:line="1" w:lineRule="exact"/>
        <w:rPr>
          <w:sz w:val="20"/>
          <w:szCs w:val="20"/>
          <w:color w:val="auto"/>
        </w:rPr>
      </w:pPr>
    </w:p>
    <w:p>
      <w:pPr>
        <w:ind w:left="180" w:hanging="161"/>
        <w:spacing w:after="0" w:line="227" w:lineRule="auto"/>
        <w:rPr>
          <w:sz w:val="20"/>
          <w:szCs w:val="20"/>
          <w:color w:val="auto"/>
        </w:rPr>
      </w:pPr>
      <w:r>
        <w:rPr>
          <w:rFonts w:ascii="Arial" w:cs="Arial" w:eastAsia="Arial" w:hAnsi="Arial"/>
          <w:sz w:val="14"/>
          <w:szCs w:val="14"/>
          <w:color w:val="auto"/>
        </w:rPr>
        <w:t xml:space="preserve">Distributions paid to noncontrolling interests </w:t>
      </w:r>
      <w:r>
        <w:rPr>
          <w:rFonts w:ascii="Arial" w:cs="Arial" w:eastAsia="Arial" w:hAnsi="Arial"/>
          <w:sz w:val="18"/>
          <w:szCs w:val="18"/>
          <w:color w:val="auto"/>
          <w:vertAlign w:val="superscript"/>
        </w:rPr>
        <w:t>(2)</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4"/>
          <w:szCs w:val="14"/>
          <w:color w:val="auto"/>
        </w:rPr>
        <w:t>Other comprehensive loss</w:t>
      </w:r>
    </w:p>
    <w:p>
      <w:pPr>
        <w:spacing w:after="0" w:line="30" w:lineRule="exact"/>
        <w:rPr>
          <w:sz w:val="20"/>
          <w:szCs w:val="20"/>
          <w:color w:val="auto"/>
        </w:rPr>
      </w:pPr>
    </w:p>
    <w:p>
      <w:pPr>
        <w:ind w:left="20"/>
        <w:spacing w:after="0"/>
        <w:rPr>
          <w:sz w:val="20"/>
          <w:szCs w:val="20"/>
          <w:color w:val="auto"/>
        </w:rPr>
      </w:pPr>
      <w:r>
        <w:rPr>
          <w:rFonts w:ascii="Arial" w:cs="Arial" w:eastAsia="Arial" w:hAnsi="Arial"/>
          <w:sz w:val="14"/>
          <w:szCs w:val="14"/>
          <w:color w:val="auto"/>
        </w:rPr>
        <w:t>Share-based compensation</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Shares issued under stock plans</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color w:val="auto"/>
        </w:rPr>
        <w:t>Purchases of treasury stock</w:t>
      </w:r>
    </w:p>
    <w:p>
      <w:pPr>
        <w:spacing w:after="0" w:line="42" w:lineRule="exact"/>
        <w:rPr>
          <w:sz w:val="20"/>
          <w:szCs w:val="20"/>
          <w:color w:val="auto"/>
        </w:rPr>
      </w:pPr>
    </w:p>
    <w:p>
      <w:pPr>
        <w:jc w:val="right"/>
        <w:ind w:left="20" w:right="600"/>
        <w:spacing w:after="0" w:line="290" w:lineRule="auto"/>
        <w:rPr>
          <w:sz w:val="20"/>
          <w:szCs w:val="20"/>
          <w:color w:val="auto"/>
        </w:rPr>
      </w:pPr>
      <w:r>
        <w:rPr>
          <w:rFonts w:ascii="Arial" w:cs="Arial" w:eastAsia="Arial" w:hAnsi="Arial"/>
          <w:sz w:val="13"/>
          <w:szCs w:val="13"/>
          <w:color w:val="auto"/>
        </w:rPr>
        <w:t>Capital contribution from noncontrolling interest</w:t>
      </w:r>
    </w:p>
    <w:p>
      <w:pPr>
        <w:spacing w:after="0" w:line="3" w:lineRule="exact"/>
        <w:rPr>
          <w:sz w:val="20"/>
          <w:szCs w:val="20"/>
          <w:color w:val="auto"/>
        </w:rPr>
      </w:pPr>
    </w:p>
    <w:p>
      <w:pPr>
        <w:ind w:left="20"/>
        <w:spacing w:after="0"/>
        <w:rPr>
          <w:sz w:val="20"/>
          <w:szCs w:val="20"/>
          <w:color w:val="auto"/>
        </w:rPr>
      </w:pPr>
      <w:r>
        <w:rPr>
          <w:rFonts w:ascii="Arial" w:cs="Arial" w:eastAsia="Arial" w:hAnsi="Arial"/>
          <w:sz w:val="14"/>
          <w:szCs w:val="14"/>
          <w:color w:val="auto"/>
        </w:rPr>
        <w:t>Balance at June 30, 2022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6"/>
        </w:trPr>
        <w:tc>
          <w:tcPr>
            <w:tcW w:w="8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180" w:type="dxa"/>
            <w:vAlign w:val="bottom"/>
            <w:gridSpan w:val="5"/>
          </w:tcPr>
          <w:p>
            <w:pPr>
              <w:jc w:val="right"/>
              <w:ind w:right="608"/>
              <w:spacing w:after="0"/>
              <w:rPr>
                <w:sz w:val="20"/>
                <w:szCs w:val="20"/>
                <w:color w:val="auto"/>
              </w:rPr>
            </w:pPr>
            <w:r>
              <w:rPr>
                <w:rFonts w:ascii="Arial" w:cs="Arial" w:eastAsia="Arial" w:hAnsi="Arial"/>
                <w:sz w:val="14"/>
                <w:szCs w:val="14"/>
                <w:b w:val="1"/>
                <w:bCs w:val="1"/>
                <w:color w:val="auto"/>
              </w:rPr>
              <w:t>Fiserv, Inc. Shareholders’ Equity</w:t>
            </w: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168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46"/>
        </w:trPr>
        <w:tc>
          <w:tcPr>
            <w:tcW w:w="1680" w:type="dxa"/>
            <w:vAlign w:val="bottom"/>
            <w:gridSpan w:val="2"/>
          </w:tcPr>
          <w:p>
            <w:pPr>
              <w:jc w:val="right"/>
              <w:ind w:right="208"/>
              <w:spacing w:after="0"/>
              <w:rPr>
                <w:sz w:val="20"/>
                <w:szCs w:val="20"/>
                <w:color w:val="auto"/>
              </w:rPr>
            </w:pPr>
            <w:r>
              <w:rPr>
                <w:rFonts w:ascii="Arial" w:cs="Arial" w:eastAsia="Arial" w:hAnsi="Arial"/>
                <w:sz w:val="14"/>
                <w:szCs w:val="14"/>
                <w:b w:val="1"/>
                <w:bCs w:val="1"/>
                <w:color w:val="auto"/>
              </w:rPr>
              <w:t>Number of Shares</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40" w:type="dxa"/>
            <w:vAlign w:val="bottom"/>
            <w:gridSpan w:val="2"/>
          </w:tcPr>
          <w:p>
            <w:pPr>
              <w:jc w:val="right"/>
              <w:ind w:right="248"/>
              <w:spacing w:after="0"/>
              <w:rPr>
                <w:sz w:val="20"/>
                <w:szCs w:val="20"/>
                <w:color w:val="auto"/>
              </w:rPr>
            </w:pPr>
            <w:r>
              <w:rPr>
                <w:rFonts w:ascii="Arial" w:cs="Arial" w:eastAsia="Arial" w:hAnsi="Arial"/>
                <w:sz w:val="14"/>
                <w:szCs w:val="14"/>
                <w:b w:val="1"/>
                <w:bCs w:val="1"/>
                <w:color w:val="auto"/>
                <w:w w:val="94"/>
              </w:rPr>
              <w:t>Amount</w:t>
            </w: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8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8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Additional</w:t>
            </w:r>
          </w:p>
        </w:tc>
        <w:tc>
          <w:tcPr>
            <w:tcW w:w="140" w:type="dxa"/>
            <w:vAlign w:val="bottom"/>
          </w:tcPr>
          <w:p>
            <w:pPr>
              <w:spacing w:after="0"/>
              <w:rPr>
                <w:sz w:val="13"/>
                <w:szCs w:val="13"/>
                <w:color w:val="auto"/>
              </w:rPr>
            </w:pPr>
          </w:p>
        </w:tc>
        <w:tc>
          <w:tcPr>
            <w:tcW w:w="1180" w:type="dxa"/>
            <w:vAlign w:val="bottom"/>
          </w:tcPr>
          <w:p>
            <w:pPr>
              <w:jc w:val="center"/>
              <w:ind w:right="48"/>
              <w:spacing w:after="0" w:line="160" w:lineRule="exact"/>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88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Common</w:t>
            </w:r>
          </w:p>
        </w:tc>
        <w:tc>
          <w:tcPr>
            <w:tcW w:w="80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Treasury</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w w:val="95"/>
              </w:rPr>
              <w:t>Common</w:t>
            </w:r>
          </w:p>
        </w:tc>
        <w:tc>
          <w:tcPr>
            <w:tcW w:w="18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jc w:val="center"/>
              <w:ind w:right="48"/>
              <w:spacing w:after="0" w:line="145" w:lineRule="exact"/>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2"/>
                <w:szCs w:val="12"/>
                <w:color w:val="auto"/>
              </w:rPr>
            </w:pPr>
          </w:p>
        </w:tc>
        <w:tc>
          <w:tcPr>
            <w:tcW w:w="70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w w:val="94"/>
              </w:rPr>
              <w:t>Retained</w:t>
            </w:r>
          </w:p>
        </w:tc>
        <w:tc>
          <w:tcPr>
            <w:tcW w:w="140" w:type="dxa"/>
            <w:vAlign w:val="bottom"/>
          </w:tcPr>
          <w:p>
            <w:pPr>
              <w:spacing w:after="0"/>
              <w:rPr>
                <w:sz w:val="12"/>
                <w:szCs w:val="12"/>
                <w:color w:val="auto"/>
              </w:rPr>
            </w:pPr>
          </w:p>
        </w:tc>
        <w:tc>
          <w:tcPr>
            <w:tcW w:w="72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w w:val="94"/>
              </w:rPr>
              <w:t>Treasury</w:t>
            </w:r>
          </w:p>
        </w:tc>
        <w:tc>
          <w:tcPr>
            <w:tcW w:w="140" w:type="dxa"/>
            <w:vAlign w:val="bottom"/>
          </w:tcPr>
          <w:p>
            <w:pPr>
              <w:spacing w:after="0"/>
              <w:rPr>
                <w:sz w:val="12"/>
                <w:szCs w:val="12"/>
                <w:color w:val="auto"/>
              </w:rPr>
            </w:pPr>
          </w:p>
        </w:tc>
        <w:tc>
          <w:tcPr>
            <w:tcW w:w="114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w w:val="94"/>
              </w:rPr>
              <w:t>Noncontrolling</w:t>
            </w: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880" w:type="dxa"/>
            <w:vAlign w:val="bottom"/>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jc w:val="right"/>
              <w:ind w:right="248"/>
              <w:spacing w:after="0" w:line="139" w:lineRule="exact"/>
              <w:rPr>
                <w:sz w:val="20"/>
                <w:szCs w:val="20"/>
                <w:color w:val="auto"/>
              </w:rPr>
            </w:pPr>
            <w:r>
              <w:rPr>
                <w:rFonts w:ascii="Arial" w:cs="Arial" w:eastAsia="Arial" w:hAnsi="Arial"/>
                <w:sz w:val="14"/>
                <w:szCs w:val="14"/>
                <w:b w:val="1"/>
                <w:bCs w:val="1"/>
                <w:color w:val="auto"/>
              </w:rPr>
              <w:t>Paid-In</w:t>
            </w:r>
          </w:p>
        </w:tc>
        <w:tc>
          <w:tcPr>
            <w:tcW w:w="140" w:type="dxa"/>
            <w:vAlign w:val="bottom"/>
          </w:tcPr>
          <w:p>
            <w:pPr>
              <w:spacing w:after="0"/>
              <w:rPr>
                <w:sz w:val="12"/>
                <w:szCs w:val="12"/>
                <w:color w:val="auto"/>
              </w:rPr>
            </w:pPr>
          </w:p>
        </w:tc>
        <w:tc>
          <w:tcPr>
            <w:tcW w:w="1180" w:type="dxa"/>
            <w:vAlign w:val="bottom"/>
          </w:tcPr>
          <w:p>
            <w:pPr>
              <w:jc w:val="center"/>
              <w:ind w:right="48"/>
              <w:spacing w:after="0" w:line="139" w:lineRule="exact"/>
              <w:rPr>
                <w:sz w:val="20"/>
                <w:szCs w:val="20"/>
                <w:color w:val="auto"/>
              </w:rPr>
            </w:pPr>
            <w:r>
              <w:rPr>
                <w:rFonts w:ascii="Arial" w:cs="Arial" w:eastAsia="Arial" w:hAnsi="Arial"/>
                <w:sz w:val="14"/>
                <w:szCs w:val="14"/>
                <w:b w:val="1"/>
                <w:bCs w:val="1"/>
                <w:color w:val="auto"/>
                <w:w w:val="89"/>
              </w:rPr>
              <w:t>Comprehensive</w:t>
            </w:r>
          </w:p>
        </w:tc>
        <w:tc>
          <w:tcPr>
            <w:tcW w:w="14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8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7"/>
              </w:rPr>
              <w:t>Total Equity</w:t>
            </w:r>
          </w:p>
        </w:tc>
        <w:tc>
          <w:tcPr>
            <w:tcW w:w="0" w:type="dxa"/>
            <w:vAlign w:val="bottom"/>
          </w:tcPr>
          <w:p>
            <w:pPr>
              <w:spacing w:after="0"/>
              <w:rPr>
                <w:sz w:val="1"/>
                <w:szCs w:val="1"/>
                <w:color w:val="auto"/>
              </w:rPr>
            </w:pPr>
          </w:p>
        </w:tc>
      </w:tr>
      <w:tr>
        <w:trPr>
          <w:trHeight w:val="186"/>
        </w:trPr>
        <w:tc>
          <w:tcPr>
            <w:tcW w:w="880" w:type="dxa"/>
            <w:vAlign w:val="bottom"/>
          </w:tcPr>
          <w:p>
            <w:pPr>
              <w:jc w:val="right"/>
              <w:ind w:right="188"/>
              <w:spacing w:after="0"/>
              <w:rPr>
                <w:sz w:val="20"/>
                <w:szCs w:val="20"/>
                <w:color w:val="auto"/>
              </w:rPr>
            </w:pPr>
            <w:r>
              <w:rPr>
                <w:rFonts w:ascii="Arial" w:cs="Arial" w:eastAsia="Arial" w:hAnsi="Arial"/>
                <w:sz w:val="14"/>
                <w:szCs w:val="14"/>
                <w:b w:val="1"/>
                <w:bCs w:val="1"/>
                <w:color w:val="auto"/>
              </w:rPr>
              <w:t>Shares</w:t>
            </w:r>
          </w:p>
        </w:tc>
        <w:tc>
          <w:tcPr>
            <w:tcW w:w="800" w:type="dxa"/>
            <w:vAlign w:val="bottom"/>
          </w:tcPr>
          <w:p>
            <w:pPr>
              <w:jc w:val="right"/>
              <w:ind w:right="148"/>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ind w:right="168"/>
              <w:spacing w:after="0"/>
              <w:rPr>
                <w:sz w:val="20"/>
                <w:szCs w:val="20"/>
                <w:color w:val="auto"/>
              </w:rPr>
            </w:pPr>
            <w:r>
              <w:rPr>
                <w:rFonts w:ascii="Arial" w:cs="Arial" w:eastAsia="Arial" w:hAnsi="Arial"/>
                <w:sz w:val="14"/>
                <w:szCs w:val="14"/>
                <w:b w:val="1"/>
                <w:bCs w:val="1"/>
                <w:color w:val="auto"/>
              </w:rPr>
              <w:t>Stock</w:t>
            </w:r>
          </w:p>
        </w:tc>
        <w:tc>
          <w:tcPr>
            <w:tcW w:w="180" w:type="dxa"/>
            <w:vAlign w:val="bottom"/>
          </w:tcPr>
          <w:p>
            <w:pPr>
              <w:spacing w:after="0"/>
              <w:rPr>
                <w:sz w:val="16"/>
                <w:szCs w:val="16"/>
                <w:color w:val="auto"/>
              </w:rPr>
            </w:pPr>
          </w:p>
        </w:tc>
        <w:tc>
          <w:tcPr>
            <w:tcW w:w="940" w:type="dxa"/>
            <w:vAlign w:val="bottom"/>
          </w:tcPr>
          <w:p>
            <w:pPr>
              <w:jc w:val="right"/>
              <w:ind w:right="248"/>
              <w:spacing w:after="0"/>
              <w:rPr>
                <w:sz w:val="20"/>
                <w:szCs w:val="20"/>
                <w:color w:val="auto"/>
              </w:rPr>
            </w:pPr>
            <w:r>
              <w:rPr>
                <w:rFonts w:ascii="Arial" w:cs="Arial" w:eastAsia="Arial" w:hAnsi="Arial"/>
                <w:sz w:val="14"/>
                <w:szCs w:val="14"/>
                <w:b w:val="1"/>
                <w:bCs w:val="1"/>
                <w:color w:val="auto"/>
              </w:rPr>
              <w:t>Capital</w:t>
            </w:r>
          </w:p>
        </w:tc>
        <w:tc>
          <w:tcPr>
            <w:tcW w:w="140" w:type="dxa"/>
            <w:vAlign w:val="bottom"/>
          </w:tcPr>
          <w:p>
            <w:pPr>
              <w:spacing w:after="0"/>
              <w:rPr>
                <w:sz w:val="16"/>
                <w:szCs w:val="16"/>
                <w:color w:val="auto"/>
              </w:rPr>
            </w:pPr>
          </w:p>
        </w:tc>
        <w:tc>
          <w:tcPr>
            <w:tcW w:w="1180" w:type="dxa"/>
            <w:vAlign w:val="bottom"/>
          </w:tcPr>
          <w:p>
            <w:pPr>
              <w:jc w:val="center"/>
              <w:ind w:right="28"/>
              <w:spacing w:after="0"/>
              <w:rPr>
                <w:sz w:val="20"/>
                <w:szCs w:val="20"/>
                <w:color w:val="auto"/>
              </w:rPr>
            </w:pPr>
            <w:r>
              <w:rPr>
                <w:rFonts w:ascii="Arial" w:cs="Arial" w:eastAsia="Arial" w:hAnsi="Arial"/>
                <w:sz w:val="14"/>
                <w:szCs w:val="14"/>
                <w:b w:val="1"/>
                <w:bCs w:val="1"/>
                <w:color w:val="auto"/>
                <w:w w:val="85"/>
              </w:rPr>
              <w:t>Loss</w:t>
            </w:r>
          </w:p>
        </w:tc>
        <w:tc>
          <w:tcPr>
            <w:tcW w:w="140" w:type="dxa"/>
            <w:vAlign w:val="bottom"/>
          </w:tcPr>
          <w:p>
            <w:pPr>
              <w:spacing w:after="0"/>
              <w:rPr>
                <w:sz w:val="16"/>
                <w:szCs w:val="16"/>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b w:val="1"/>
                <w:bCs w:val="1"/>
                <w:color w:val="auto"/>
                <w:w w:val="93"/>
              </w:rPr>
              <w:t>Earnings</w:t>
            </w:r>
          </w:p>
        </w:tc>
        <w:tc>
          <w:tcPr>
            <w:tcW w:w="140" w:type="dxa"/>
            <w:vAlign w:val="bottom"/>
          </w:tcPr>
          <w:p>
            <w:pPr>
              <w:spacing w:after="0"/>
              <w:rPr>
                <w:sz w:val="16"/>
                <w:szCs w:val="16"/>
                <w:color w:val="auto"/>
              </w:rPr>
            </w:pPr>
          </w:p>
        </w:tc>
        <w:tc>
          <w:tcPr>
            <w:tcW w:w="720" w:type="dxa"/>
            <w:vAlign w:val="bottom"/>
          </w:tcPr>
          <w:p>
            <w:pPr>
              <w:jc w:val="right"/>
              <w:ind w:right="188"/>
              <w:spacing w:after="0"/>
              <w:rPr>
                <w:sz w:val="20"/>
                <w:szCs w:val="20"/>
                <w:color w:val="auto"/>
              </w:rPr>
            </w:pPr>
            <w:r>
              <w:rPr>
                <w:rFonts w:ascii="Arial" w:cs="Arial" w:eastAsia="Arial" w:hAnsi="Arial"/>
                <w:sz w:val="14"/>
                <w:szCs w:val="14"/>
                <w:b w:val="1"/>
                <w:bCs w:val="1"/>
                <w:color w:val="auto"/>
              </w:rPr>
              <w:t>Stock</w:t>
            </w:r>
          </w:p>
        </w:tc>
        <w:tc>
          <w:tcPr>
            <w:tcW w:w="140" w:type="dxa"/>
            <w:vAlign w:val="bottom"/>
          </w:tcPr>
          <w:p>
            <w:pPr>
              <w:spacing w:after="0"/>
              <w:rPr>
                <w:sz w:val="16"/>
                <w:szCs w:val="16"/>
                <w:color w:val="auto"/>
              </w:rPr>
            </w:pPr>
          </w:p>
        </w:tc>
        <w:tc>
          <w:tcPr>
            <w:tcW w:w="1140" w:type="dxa"/>
            <w:vAlign w:val="bottom"/>
          </w:tcPr>
          <w:p>
            <w:pPr>
              <w:jc w:val="right"/>
              <w:ind w:right="308"/>
              <w:spacing w:after="0"/>
              <w:rPr>
                <w:sz w:val="20"/>
                <w:szCs w:val="20"/>
                <w:color w:val="auto"/>
              </w:rPr>
            </w:pPr>
            <w:r>
              <w:rPr>
                <w:rFonts w:ascii="Arial" w:cs="Arial" w:eastAsia="Arial" w:hAnsi="Arial"/>
                <w:sz w:val="14"/>
                <w:szCs w:val="14"/>
                <w:b w:val="1"/>
                <w:bCs w:val="1"/>
                <w:color w:val="auto"/>
              </w:rPr>
              <w:t>Interests</w:t>
            </w:r>
          </w:p>
        </w:tc>
        <w:tc>
          <w:tcPr>
            <w:tcW w:w="8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88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gridSpan w:val="2"/>
          </w:tcPr>
          <w:p>
            <w:pPr>
              <w:spacing w:after="0"/>
              <w:rPr>
                <w:sz w:val="2"/>
                <w:szCs w:val="2"/>
                <w:color w:val="auto"/>
              </w:rPr>
            </w:pPr>
          </w:p>
        </w:tc>
        <w:tc>
          <w:tcPr>
            <w:tcW w:w="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8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784</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137</w:t>
            </w:r>
          </w:p>
        </w:tc>
        <w:tc>
          <w:tcPr>
            <w:tcW w:w="10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w:t>
            </w:r>
          </w:p>
        </w:tc>
        <w:tc>
          <w:tcPr>
            <w:tcW w:w="18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22,950</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(640)</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15,515</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(6,561)</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706</w:t>
            </w:r>
          </w:p>
        </w:tc>
        <w:tc>
          <w:tcPr>
            <w:tcW w:w="24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31,978</w:t>
            </w:r>
          </w:p>
        </w:tc>
        <w:tc>
          <w:tcPr>
            <w:tcW w:w="0" w:type="dxa"/>
            <w:vAlign w:val="bottom"/>
          </w:tcPr>
          <w:p>
            <w:pPr>
              <w:spacing w:after="0"/>
              <w:rPr>
                <w:sz w:val="1"/>
                <w:szCs w:val="1"/>
                <w:color w:val="auto"/>
              </w:rPr>
            </w:pPr>
          </w:p>
        </w:tc>
      </w:tr>
      <w:tr>
        <w:trPr>
          <w:trHeight w:val="184"/>
        </w:trPr>
        <w:tc>
          <w:tcPr>
            <w:tcW w:w="8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598</w:t>
            </w: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6</w:t>
            </w:r>
          </w:p>
        </w:tc>
        <w:tc>
          <w:tcPr>
            <w:tcW w:w="2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604</w:t>
            </w:r>
          </w:p>
        </w:tc>
        <w:tc>
          <w:tcPr>
            <w:tcW w:w="0" w:type="dxa"/>
            <w:vAlign w:val="bottom"/>
          </w:tcPr>
          <w:p>
            <w:pPr>
              <w:spacing w:after="0"/>
              <w:rPr>
                <w:sz w:val="1"/>
                <w:szCs w:val="1"/>
                <w:color w:val="auto"/>
              </w:rPr>
            </w:pPr>
          </w:p>
        </w:tc>
      </w:tr>
      <w:tr>
        <w:trPr>
          <w:trHeight w:val="270"/>
        </w:trPr>
        <w:tc>
          <w:tcPr>
            <w:tcW w:w="8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w:t>
            </w:r>
          </w:p>
        </w:tc>
        <w:tc>
          <w:tcPr>
            <w:tcW w:w="24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70"/>
        </w:trPr>
        <w:tc>
          <w:tcPr>
            <w:tcW w:w="8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(365)</w:t>
            </w:r>
          </w:p>
        </w:tc>
        <w:tc>
          <w:tcPr>
            <w:tcW w:w="1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(24)</w:t>
            </w:r>
          </w:p>
        </w:tc>
        <w:tc>
          <w:tcPr>
            <w:tcW w:w="24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(389)</w:t>
            </w:r>
          </w:p>
        </w:tc>
        <w:tc>
          <w:tcPr>
            <w:tcW w:w="0" w:type="dxa"/>
            <w:vAlign w:val="bottom"/>
          </w:tcPr>
          <w:p>
            <w:pPr>
              <w:spacing w:after="0"/>
              <w:rPr>
                <w:sz w:val="1"/>
                <w:szCs w:val="1"/>
                <w:color w:val="auto"/>
              </w:rPr>
            </w:pPr>
          </w:p>
        </w:tc>
      </w:tr>
      <w:tr>
        <w:trPr>
          <w:trHeight w:val="203"/>
        </w:trPr>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94</w:t>
            </w: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94</w:t>
            </w:r>
          </w:p>
        </w:tc>
        <w:tc>
          <w:tcPr>
            <w:tcW w:w="0" w:type="dxa"/>
            <w:vAlign w:val="bottom"/>
          </w:tcPr>
          <w:p>
            <w:pPr>
              <w:spacing w:after="0"/>
              <w:rPr>
                <w:sz w:val="1"/>
                <w:szCs w:val="1"/>
                <w:color w:val="auto"/>
              </w:rPr>
            </w:pPr>
          </w:p>
        </w:tc>
      </w:tr>
      <w:tr>
        <w:trPr>
          <w:trHeight w:val="203"/>
        </w:trPr>
        <w:tc>
          <w:tcPr>
            <w:tcW w:w="8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(34)</w:t>
            </w: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44</w:t>
            </w: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89"/>
        </w:trPr>
        <w:tc>
          <w:tcPr>
            <w:tcW w:w="8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(500)</w:t>
            </w: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(500)</w:t>
            </w:r>
          </w:p>
        </w:tc>
        <w:tc>
          <w:tcPr>
            <w:tcW w:w="0" w:type="dxa"/>
            <w:vAlign w:val="bottom"/>
          </w:tcPr>
          <w:p>
            <w:pPr>
              <w:spacing w:after="0"/>
              <w:rPr>
                <w:sz w:val="1"/>
                <w:szCs w:val="1"/>
                <w:color w:val="auto"/>
              </w:rPr>
            </w:pPr>
          </w:p>
        </w:tc>
      </w:tr>
      <w:tr>
        <w:trPr>
          <w:trHeight w:val="270"/>
        </w:trPr>
        <w:tc>
          <w:tcPr>
            <w:tcW w:w="8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13</w:t>
            </w:r>
          </w:p>
        </w:tc>
        <w:tc>
          <w:tcPr>
            <w:tcW w:w="24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93"/>
        </w:trPr>
        <w:tc>
          <w:tcPr>
            <w:tcW w:w="8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20" w:type="dxa"/>
            <w:vAlign w:val="bottom"/>
            <w:gridSpan w:val="2"/>
          </w:tcPr>
          <w:p>
            <w:pPr>
              <w:spacing w:after="0"/>
              <w:rPr>
                <w:sz w:val="8"/>
                <w:szCs w:val="8"/>
                <w:color w:val="auto"/>
              </w:rPr>
            </w:pPr>
          </w:p>
        </w:tc>
        <w:tc>
          <w:tcPr>
            <w:tcW w:w="740" w:type="dxa"/>
            <w:vAlign w:val="bottom"/>
          </w:tcPr>
          <w:p>
            <w:pPr>
              <w:spacing w:after="0"/>
              <w:rPr>
                <w:sz w:val="8"/>
                <w:szCs w:val="8"/>
                <w:color w:val="auto"/>
              </w:rPr>
            </w:pPr>
          </w:p>
        </w:tc>
        <w:tc>
          <w:tcPr>
            <w:tcW w:w="180" w:type="dxa"/>
            <w:vAlign w:val="bottom"/>
          </w:tcPr>
          <w:p>
            <w:pPr>
              <w:spacing w:after="0"/>
              <w:rPr>
                <w:sz w:val="8"/>
                <w:szCs w:val="8"/>
                <w:color w:val="auto"/>
              </w:rPr>
            </w:pPr>
          </w:p>
        </w:tc>
        <w:tc>
          <w:tcPr>
            <w:tcW w:w="9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8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784</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141</w:t>
            </w:r>
          </w:p>
        </w:tc>
        <w:tc>
          <w:tcPr>
            <w:tcW w:w="10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w:t>
            </w:r>
          </w:p>
        </w:tc>
        <w:tc>
          <w:tcPr>
            <w:tcW w:w="18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23,010</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(1,005)</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16,113</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(7,017)</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700</w:t>
            </w:r>
          </w:p>
        </w:tc>
        <w:tc>
          <w:tcPr>
            <w:tcW w:w="24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31,809</w:t>
            </w:r>
          </w:p>
        </w:tc>
        <w:tc>
          <w:tcPr>
            <w:tcW w:w="0" w:type="dxa"/>
            <w:vAlign w:val="bottom"/>
          </w:tcPr>
          <w:p>
            <w:pPr>
              <w:spacing w:after="0"/>
              <w:rPr>
                <w:sz w:val="1"/>
                <w:szCs w:val="1"/>
                <w:color w:val="auto"/>
              </w:rPr>
            </w:pPr>
          </w:p>
        </w:tc>
      </w:tr>
      <w:tr>
        <w:trPr>
          <w:trHeight w:val="20"/>
        </w:trPr>
        <w:tc>
          <w:tcPr>
            <w:tcW w:w="8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8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-1480185</wp:posOffset>
            </wp:positionH>
            <wp:positionV relativeFrom="paragraph">
              <wp:posOffset>-1362710</wp:posOffset>
            </wp:positionV>
            <wp:extent cx="7132320" cy="1289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-1480185</wp:posOffset>
            </wp:positionH>
            <wp:positionV relativeFrom="paragraph">
              <wp:posOffset>-1105535</wp:posOffset>
            </wp:positionV>
            <wp:extent cx="7132320" cy="2146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214630"/>
                    </a:xfrm>
                    <a:prstGeom prst="rect">
                      <a:avLst/>
                    </a:prstGeom>
                    <a:noFill/>
                  </pic:spPr>
                </pic:pic>
              </a:graphicData>
            </a:graphic>
          </wp:anchor>
        </w:drawing>
        <w:drawing>
          <wp:anchor simplePos="0" relativeHeight="251657728" behindDoc="1" locked="0" layoutInCell="0" allowOverlap="1">
            <wp:simplePos x="0" y="0"/>
            <wp:positionH relativeFrom="column">
              <wp:posOffset>-1480185</wp:posOffset>
            </wp:positionH>
            <wp:positionV relativeFrom="paragraph">
              <wp:posOffset>-762635</wp:posOffset>
            </wp:positionV>
            <wp:extent cx="7132320" cy="1289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-1480185</wp:posOffset>
            </wp:positionH>
            <wp:positionV relativeFrom="paragraph">
              <wp:posOffset>-513715</wp:posOffset>
            </wp:positionV>
            <wp:extent cx="7132320" cy="1289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-1480185</wp:posOffset>
            </wp:positionH>
            <wp:positionV relativeFrom="paragraph">
              <wp:posOffset>-170815</wp:posOffset>
            </wp:positionV>
            <wp:extent cx="7132320" cy="1543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12" w:lineRule="exact"/>
        <w:rPr>
          <w:sz w:val="20"/>
          <w:szCs w:val="20"/>
          <w:color w:val="auto"/>
        </w:rPr>
      </w:pPr>
    </w:p>
    <w:p>
      <w:pPr>
        <w:sectPr>
          <w:pgSz w:w="11900" w:h="16838" w:orient="portrait"/>
          <w:cols w:equalWidth="0" w:num="2">
            <w:col w:w="2100" w:space="240"/>
            <w:col w:w="8900"/>
          </w:cols>
          <w:pgMar w:left="320" w:top="125" w:right="339" w:bottom="1440" w:gutter="0" w:footer="0" w:header="0"/>
          <w:type w:val="continuous"/>
        </w:sectPr>
      </w:pPr>
    </w:p>
    <w:p>
      <w:pPr>
        <w:ind w:left="660" w:right="140" w:hanging="328"/>
        <w:spacing w:after="0" w:line="230" w:lineRule="auto"/>
        <w:tabs>
          <w:tab w:leader="none" w:pos="660" w:val="left"/>
        </w:tabs>
        <w:numPr>
          <w:ilvl w:val="0"/>
          <w:numId w:val="5"/>
        </w:numPr>
        <w:rPr>
          <w:rFonts w:ascii="Arial" w:cs="Arial" w:eastAsia="Arial" w:hAnsi="Arial"/>
          <w:sz w:val="21"/>
          <w:szCs w:val="21"/>
          <w:color w:val="auto"/>
          <w:vertAlign w:val="superscript"/>
        </w:rPr>
      </w:pPr>
      <w:r>
        <w:rPr>
          <w:rFonts w:ascii="Arial" w:cs="Arial" w:eastAsia="Arial" w:hAnsi="Arial"/>
          <w:sz w:val="16"/>
          <w:szCs w:val="16"/>
          <w:color w:val="auto"/>
        </w:rPr>
        <w:t>The total net income presented in equity for the three months ended June 30, 2022 is different than the amount presented in the consolidated statement of income due to the net income attributable to redeemable noncontrolling interests of $5 million not included in equity.</w:t>
      </w:r>
    </w:p>
    <w:p>
      <w:pPr>
        <w:spacing w:after="0" w:line="37" w:lineRule="exact"/>
        <w:rPr>
          <w:rFonts w:ascii="Arial" w:cs="Arial" w:eastAsia="Arial" w:hAnsi="Arial"/>
          <w:sz w:val="21"/>
          <w:szCs w:val="21"/>
          <w:color w:val="auto"/>
          <w:vertAlign w:val="superscript"/>
        </w:rPr>
      </w:pPr>
    </w:p>
    <w:p>
      <w:pPr>
        <w:ind w:left="660" w:right="560" w:hanging="328"/>
        <w:spacing w:after="0" w:line="230" w:lineRule="auto"/>
        <w:tabs>
          <w:tab w:leader="none" w:pos="660" w:val="left"/>
        </w:tabs>
        <w:numPr>
          <w:ilvl w:val="0"/>
          <w:numId w:val="5"/>
        </w:numPr>
        <w:rPr>
          <w:rFonts w:ascii="Arial" w:cs="Arial" w:eastAsia="Arial" w:hAnsi="Arial"/>
          <w:sz w:val="21"/>
          <w:szCs w:val="21"/>
          <w:color w:val="auto"/>
          <w:vertAlign w:val="superscript"/>
        </w:rPr>
      </w:pPr>
      <w:r>
        <w:rPr>
          <w:rFonts w:ascii="Arial" w:cs="Arial" w:eastAsia="Arial" w:hAnsi="Arial"/>
          <w:sz w:val="16"/>
          <w:szCs w:val="16"/>
          <w:color w:val="auto"/>
        </w:rPr>
        <w:t>The total distributions presented in equity for the three months ended June 30, 2022 excludes $8 million in distributions paid to redeemable noncontrolling interests not included in equity.</w:t>
      </w:r>
    </w:p>
    <w:p>
      <w:pPr>
        <w:sectPr>
          <w:pgSz w:w="11900" w:h="16838" w:orient="portrait"/>
          <w:cols w:equalWidth="0" w:num="1">
            <w:col w:w="11240"/>
          </w:cols>
          <w:pgMar w:left="320" w:top="125" w:right="339" w:bottom="1440" w:gutter="0" w:footer="0" w:header="0"/>
          <w:type w:val="continuous"/>
        </w:sectPr>
      </w:pPr>
    </w:p>
    <w:p>
      <w:pPr>
        <w:spacing w:after="0" w:line="200" w:lineRule="exact"/>
        <w:rPr>
          <w:sz w:val="20"/>
          <w:szCs w:val="20"/>
          <w:color w:val="auto"/>
        </w:rPr>
      </w:pPr>
    </w:p>
    <w:p>
      <w:pPr>
        <w:spacing w:after="0" w:line="230"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Six Months Ended</w:t>
      </w:r>
    </w:p>
    <w:p>
      <w:pPr>
        <w:spacing w:after="0" w:line="4"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June 30, 2023</w:t>
      </w:r>
    </w:p>
    <w:p>
      <w:pPr>
        <w:spacing w:after="0" w:line="200" w:lineRule="exact"/>
        <w:rPr>
          <w:sz w:val="20"/>
          <w:szCs w:val="20"/>
          <w:color w:val="auto"/>
        </w:rPr>
      </w:pPr>
    </w:p>
    <w:p>
      <w:pPr>
        <w:spacing w:after="0" w:line="258" w:lineRule="exact"/>
        <w:rPr>
          <w:sz w:val="20"/>
          <w:szCs w:val="20"/>
          <w:color w:val="auto"/>
        </w:rPr>
      </w:pPr>
    </w:p>
    <w:p>
      <w:pPr>
        <w:ind w:left="20"/>
        <w:spacing w:after="0"/>
        <w:rPr>
          <w:sz w:val="20"/>
          <w:szCs w:val="20"/>
          <w:color w:val="auto"/>
        </w:rPr>
      </w:pPr>
      <w:r>
        <w:rPr>
          <w:rFonts w:ascii="Arial" w:cs="Arial" w:eastAsia="Arial" w:hAnsi="Arial"/>
          <w:sz w:val="14"/>
          <w:szCs w:val="14"/>
          <w:b w:val="1"/>
          <w:bCs w:val="1"/>
          <w:u w:val="single" w:color="auto"/>
          <w:color w:val="auto"/>
        </w:rPr>
        <w:t>(In millions)</w:t>
      </w:r>
    </w:p>
    <w:p>
      <w:pPr>
        <w:spacing w:after="0" w:line="46" w:lineRule="exact"/>
        <w:rPr>
          <w:sz w:val="20"/>
          <w:szCs w:val="20"/>
          <w:color w:val="auto"/>
        </w:rPr>
      </w:pPr>
    </w:p>
    <w:p>
      <w:pPr>
        <w:ind w:left="20" w:right="300"/>
        <w:spacing w:after="0" w:line="301" w:lineRule="auto"/>
        <w:rPr>
          <w:sz w:val="20"/>
          <w:szCs w:val="20"/>
          <w:color w:val="auto"/>
        </w:rPr>
      </w:pPr>
      <w:r>
        <w:rPr>
          <w:rFonts w:ascii="Arial" w:cs="Arial" w:eastAsia="Arial" w:hAnsi="Arial"/>
          <w:sz w:val="14"/>
          <w:szCs w:val="14"/>
          <w:color w:val="auto"/>
        </w:rPr>
        <w:t xml:space="preserve">Balance at December 31, 2022 Net income </w:t>
      </w:r>
      <w:r>
        <w:rPr>
          <w:rFonts w:ascii="Arial" w:cs="Arial" w:eastAsia="Arial" w:hAnsi="Arial"/>
          <w:sz w:val="9"/>
          <w:szCs w:val="9"/>
          <w:color w:val="auto"/>
        </w:rPr>
        <w:t>(1)</w:t>
      </w:r>
    </w:p>
    <w:p>
      <w:pPr>
        <w:spacing w:after="0" w:line="1" w:lineRule="exact"/>
        <w:rPr>
          <w:sz w:val="20"/>
          <w:szCs w:val="20"/>
          <w:color w:val="auto"/>
        </w:rPr>
      </w:pPr>
    </w:p>
    <w:p>
      <w:pPr>
        <w:ind w:left="180" w:hanging="161"/>
        <w:spacing w:after="0" w:line="227" w:lineRule="auto"/>
        <w:rPr>
          <w:sz w:val="20"/>
          <w:szCs w:val="20"/>
          <w:color w:val="auto"/>
        </w:rPr>
      </w:pPr>
      <w:r>
        <w:rPr>
          <w:rFonts w:ascii="Arial" w:cs="Arial" w:eastAsia="Arial" w:hAnsi="Arial"/>
          <w:sz w:val="14"/>
          <w:szCs w:val="14"/>
          <w:color w:val="auto"/>
        </w:rPr>
        <w:t xml:space="preserve">Distributions paid to noncontrolling interests </w:t>
      </w:r>
      <w:r>
        <w:rPr>
          <w:rFonts w:ascii="Arial" w:cs="Arial" w:eastAsia="Arial" w:hAnsi="Arial"/>
          <w:sz w:val="18"/>
          <w:szCs w:val="18"/>
          <w:color w:val="auto"/>
          <w:vertAlign w:val="superscript"/>
        </w:rPr>
        <w:t>(2)</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4"/>
          <w:szCs w:val="14"/>
          <w:color w:val="auto"/>
        </w:rPr>
        <w:t>Other comprehensive income</w:t>
      </w:r>
    </w:p>
    <w:p>
      <w:pPr>
        <w:spacing w:after="0" w:line="30" w:lineRule="exact"/>
        <w:rPr>
          <w:sz w:val="20"/>
          <w:szCs w:val="20"/>
          <w:color w:val="auto"/>
        </w:rPr>
      </w:pPr>
    </w:p>
    <w:p>
      <w:pPr>
        <w:ind w:left="20"/>
        <w:spacing w:after="0"/>
        <w:rPr>
          <w:sz w:val="20"/>
          <w:szCs w:val="20"/>
          <w:color w:val="auto"/>
        </w:rPr>
      </w:pPr>
      <w:r>
        <w:rPr>
          <w:rFonts w:ascii="Arial" w:cs="Arial" w:eastAsia="Arial" w:hAnsi="Arial"/>
          <w:sz w:val="14"/>
          <w:szCs w:val="14"/>
          <w:color w:val="auto"/>
        </w:rPr>
        <w:t>Share-based compensation</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Shares issued under stock plans</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6"/>
        </w:trPr>
        <w:tc>
          <w:tcPr>
            <w:tcW w:w="8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300" w:type="dxa"/>
            <w:vAlign w:val="bottom"/>
            <w:gridSpan w:val="5"/>
          </w:tcPr>
          <w:p>
            <w:pPr>
              <w:jc w:val="right"/>
              <w:ind w:right="688"/>
              <w:spacing w:after="0"/>
              <w:rPr>
                <w:sz w:val="20"/>
                <w:szCs w:val="20"/>
                <w:color w:val="auto"/>
              </w:rPr>
            </w:pPr>
            <w:r>
              <w:rPr>
                <w:rFonts w:ascii="Arial" w:cs="Arial" w:eastAsia="Arial" w:hAnsi="Arial"/>
                <w:sz w:val="14"/>
                <w:szCs w:val="14"/>
                <w:b w:val="1"/>
                <w:bCs w:val="1"/>
                <w:color w:val="auto"/>
              </w:rPr>
              <w:t>Fiserv, Inc. Shareholders’ Equity</w:t>
            </w: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168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46"/>
        </w:trPr>
        <w:tc>
          <w:tcPr>
            <w:tcW w:w="1680" w:type="dxa"/>
            <w:vAlign w:val="bottom"/>
            <w:gridSpan w:val="2"/>
          </w:tcPr>
          <w:p>
            <w:pPr>
              <w:jc w:val="right"/>
              <w:ind w:right="208"/>
              <w:spacing w:after="0"/>
              <w:rPr>
                <w:sz w:val="20"/>
                <w:szCs w:val="20"/>
                <w:color w:val="auto"/>
              </w:rPr>
            </w:pPr>
            <w:r>
              <w:rPr>
                <w:rFonts w:ascii="Arial" w:cs="Arial" w:eastAsia="Arial" w:hAnsi="Arial"/>
                <w:sz w:val="14"/>
                <w:szCs w:val="14"/>
                <w:b w:val="1"/>
                <w:bCs w:val="1"/>
                <w:color w:val="auto"/>
              </w:rPr>
              <w:t>Number of Shares</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00" w:type="dxa"/>
            <w:vAlign w:val="bottom"/>
            <w:gridSpan w:val="3"/>
          </w:tcPr>
          <w:p>
            <w:pPr>
              <w:jc w:val="right"/>
              <w:ind w:right="348"/>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8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8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rPr>
              <w:t>Additional</w:t>
            </w:r>
          </w:p>
        </w:tc>
        <w:tc>
          <w:tcPr>
            <w:tcW w:w="180" w:type="dxa"/>
            <w:vAlign w:val="bottom"/>
          </w:tcPr>
          <w:p>
            <w:pPr>
              <w:spacing w:after="0"/>
              <w:rPr>
                <w:sz w:val="11"/>
                <w:szCs w:val="11"/>
                <w:color w:val="auto"/>
              </w:rPr>
            </w:pPr>
          </w:p>
        </w:tc>
        <w:tc>
          <w:tcPr>
            <w:tcW w:w="1280" w:type="dxa"/>
            <w:vAlign w:val="bottom"/>
          </w:tcPr>
          <w:p>
            <w:pPr>
              <w:jc w:val="center"/>
              <w:ind w:right="108"/>
              <w:spacing w:after="0" w:line="133" w:lineRule="exact"/>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8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Common</w:t>
            </w:r>
          </w:p>
        </w:tc>
        <w:tc>
          <w:tcPr>
            <w:tcW w:w="8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Treasury</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vMerge w:val="restart"/>
          </w:tcPr>
          <w:p>
            <w:pPr>
              <w:jc w:val="center"/>
              <w:ind w:right="8"/>
              <w:spacing w:after="0"/>
              <w:rPr>
                <w:sz w:val="20"/>
                <w:szCs w:val="20"/>
                <w:color w:val="auto"/>
              </w:rPr>
            </w:pPr>
            <w:r>
              <w:rPr>
                <w:rFonts w:ascii="Arial" w:cs="Arial" w:eastAsia="Arial" w:hAnsi="Arial"/>
                <w:sz w:val="14"/>
                <w:szCs w:val="14"/>
                <w:b w:val="1"/>
                <w:bCs w:val="1"/>
                <w:color w:val="auto"/>
                <w:w w:val="92"/>
              </w:rPr>
              <w:t>Common</w:t>
            </w:r>
          </w:p>
        </w:tc>
        <w:tc>
          <w:tcPr>
            <w:tcW w:w="18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tcPr>
          <w:p>
            <w:pPr>
              <w:jc w:val="center"/>
              <w:ind w:right="88"/>
              <w:spacing w:after="0" w:line="145" w:lineRule="exact"/>
              <w:rPr>
                <w:sz w:val="20"/>
                <w:szCs w:val="20"/>
                <w:color w:val="auto"/>
              </w:rPr>
            </w:pPr>
            <w:r>
              <w:rPr>
                <w:rFonts w:ascii="Arial" w:cs="Arial" w:eastAsia="Arial" w:hAnsi="Arial"/>
                <w:sz w:val="14"/>
                <w:szCs w:val="14"/>
                <w:b w:val="1"/>
                <w:bCs w:val="1"/>
                <w:color w:val="auto"/>
                <w:w w:val="96"/>
              </w:rPr>
              <w:t>Other</w:t>
            </w:r>
          </w:p>
        </w:tc>
        <w:tc>
          <w:tcPr>
            <w:tcW w:w="120" w:type="dxa"/>
            <w:vAlign w:val="bottom"/>
          </w:tcPr>
          <w:p>
            <w:pPr>
              <w:spacing w:after="0"/>
              <w:rPr>
                <w:sz w:val="12"/>
                <w:szCs w:val="12"/>
                <w:color w:val="auto"/>
              </w:rPr>
            </w:pPr>
          </w:p>
        </w:tc>
        <w:tc>
          <w:tcPr>
            <w:tcW w:w="70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w w:val="94"/>
              </w:rPr>
              <w:t>Retained</w:t>
            </w:r>
          </w:p>
        </w:tc>
        <w:tc>
          <w:tcPr>
            <w:tcW w:w="120" w:type="dxa"/>
            <w:vAlign w:val="bottom"/>
          </w:tcPr>
          <w:p>
            <w:pPr>
              <w:spacing w:after="0"/>
              <w:rPr>
                <w:sz w:val="12"/>
                <w:szCs w:val="12"/>
                <w:color w:val="auto"/>
              </w:rPr>
            </w:pPr>
          </w:p>
        </w:tc>
        <w:tc>
          <w:tcPr>
            <w:tcW w:w="740" w:type="dxa"/>
            <w:vAlign w:val="bottom"/>
            <w:vMerge w:val="restart"/>
          </w:tcPr>
          <w:p>
            <w:pPr>
              <w:jc w:val="center"/>
              <w:ind w:right="48"/>
              <w:spacing w:after="0"/>
              <w:rPr>
                <w:sz w:val="20"/>
                <w:szCs w:val="20"/>
                <w:color w:val="auto"/>
              </w:rPr>
            </w:pPr>
            <w:r>
              <w:rPr>
                <w:rFonts w:ascii="Arial" w:cs="Arial" w:eastAsia="Arial" w:hAnsi="Arial"/>
                <w:sz w:val="14"/>
                <w:szCs w:val="14"/>
                <w:b w:val="1"/>
                <w:bCs w:val="1"/>
                <w:color w:val="auto"/>
                <w:w w:val="91"/>
              </w:rPr>
              <w:t>Treasury</w:t>
            </w:r>
          </w:p>
        </w:tc>
        <w:tc>
          <w:tcPr>
            <w:tcW w:w="140" w:type="dxa"/>
            <w:vAlign w:val="bottom"/>
          </w:tcPr>
          <w:p>
            <w:pPr>
              <w:spacing w:after="0"/>
              <w:rPr>
                <w:sz w:val="12"/>
                <w:szCs w:val="12"/>
                <w:color w:val="auto"/>
              </w:rPr>
            </w:pPr>
          </w:p>
        </w:tc>
        <w:tc>
          <w:tcPr>
            <w:tcW w:w="116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w w:val="96"/>
              </w:rPr>
              <w:t>Noncontrolling</w:t>
            </w:r>
          </w:p>
        </w:tc>
        <w:tc>
          <w:tcPr>
            <w:tcW w:w="120" w:type="dxa"/>
            <w:vAlign w:val="bottom"/>
          </w:tcPr>
          <w:p>
            <w:pPr>
              <w:spacing w:after="0"/>
              <w:rPr>
                <w:sz w:val="12"/>
                <w:szCs w:val="12"/>
                <w:color w:val="auto"/>
              </w:rPr>
            </w:pPr>
          </w:p>
        </w:tc>
        <w:tc>
          <w:tcPr>
            <w:tcW w:w="60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39"/>
        </w:trPr>
        <w:tc>
          <w:tcPr>
            <w:tcW w:w="880" w:type="dxa"/>
            <w:vAlign w:val="bottom"/>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jc w:val="right"/>
              <w:ind w:right="228"/>
              <w:spacing w:after="0" w:line="139" w:lineRule="exact"/>
              <w:rPr>
                <w:sz w:val="20"/>
                <w:szCs w:val="20"/>
                <w:color w:val="auto"/>
              </w:rPr>
            </w:pPr>
            <w:r>
              <w:rPr>
                <w:rFonts w:ascii="Arial" w:cs="Arial" w:eastAsia="Arial" w:hAnsi="Arial"/>
                <w:sz w:val="14"/>
                <w:szCs w:val="14"/>
                <w:b w:val="1"/>
                <w:bCs w:val="1"/>
                <w:color w:val="auto"/>
              </w:rPr>
              <w:t>Paid-In</w:t>
            </w:r>
          </w:p>
        </w:tc>
        <w:tc>
          <w:tcPr>
            <w:tcW w:w="180" w:type="dxa"/>
            <w:vAlign w:val="bottom"/>
          </w:tcPr>
          <w:p>
            <w:pPr>
              <w:spacing w:after="0"/>
              <w:rPr>
                <w:sz w:val="12"/>
                <w:szCs w:val="12"/>
                <w:color w:val="auto"/>
              </w:rPr>
            </w:pPr>
          </w:p>
        </w:tc>
        <w:tc>
          <w:tcPr>
            <w:tcW w:w="1280" w:type="dxa"/>
            <w:vAlign w:val="bottom"/>
          </w:tcPr>
          <w:p>
            <w:pPr>
              <w:jc w:val="center"/>
              <w:ind w:right="88"/>
              <w:spacing w:after="0" w:line="139" w:lineRule="exact"/>
              <w:rPr>
                <w:sz w:val="20"/>
                <w:szCs w:val="20"/>
                <w:color w:val="auto"/>
              </w:rPr>
            </w:pPr>
            <w:r>
              <w:rPr>
                <w:rFonts w:ascii="Arial" w:cs="Arial" w:eastAsia="Arial" w:hAnsi="Arial"/>
                <w:sz w:val="14"/>
                <w:szCs w:val="14"/>
                <w:b w:val="1"/>
                <w:bCs w:val="1"/>
                <w:color w:val="auto"/>
                <w:w w:val="91"/>
              </w:rPr>
              <w:t>Comprehensive</w:t>
            </w:r>
          </w:p>
        </w:tc>
        <w:tc>
          <w:tcPr>
            <w:tcW w:w="12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85"/>
              </w:rPr>
              <w:t>Shares</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9"/>
              </w:rPr>
              <w:t>Shares</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center"/>
              <w:ind w:right="8"/>
              <w:spacing w:after="0"/>
              <w:rPr>
                <w:sz w:val="20"/>
                <w:szCs w:val="20"/>
                <w:color w:val="auto"/>
              </w:rPr>
            </w:pPr>
            <w:r>
              <w:rPr>
                <w:rFonts w:ascii="Arial" w:cs="Arial" w:eastAsia="Arial" w:hAnsi="Arial"/>
                <w:sz w:val="14"/>
                <w:szCs w:val="14"/>
                <w:b w:val="1"/>
                <w:bCs w:val="1"/>
                <w:color w:val="auto"/>
                <w:w w:val="94"/>
              </w:rPr>
              <w:t>Stock</w:t>
            </w:r>
          </w:p>
        </w:tc>
        <w:tc>
          <w:tcPr>
            <w:tcW w:w="180" w:type="dxa"/>
            <w:vAlign w:val="bottom"/>
          </w:tcPr>
          <w:p>
            <w:pPr>
              <w:spacing w:after="0"/>
              <w:rPr>
                <w:sz w:val="16"/>
                <w:szCs w:val="16"/>
                <w:color w:val="auto"/>
              </w:rPr>
            </w:pPr>
          </w:p>
        </w:tc>
        <w:tc>
          <w:tcPr>
            <w:tcW w:w="940" w:type="dxa"/>
            <w:vAlign w:val="bottom"/>
          </w:tcPr>
          <w:p>
            <w:pPr>
              <w:jc w:val="right"/>
              <w:ind w:right="228"/>
              <w:spacing w:after="0"/>
              <w:rPr>
                <w:sz w:val="20"/>
                <w:szCs w:val="20"/>
                <w:color w:val="auto"/>
              </w:rPr>
            </w:pPr>
            <w:r>
              <w:rPr>
                <w:rFonts w:ascii="Arial" w:cs="Arial" w:eastAsia="Arial" w:hAnsi="Arial"/>
                <w:sz w:val="14"/>
                <w:szCs w:val="14"/>
                <w:b w:val="1"/>
                <w:bCs w:val="1"/>
                <w:color w:val="auto"/>
              </w:rPr>
              <w:t>Capital</w:t>
            </w:r>
          </w:p>
        </w:tc>
        <w:tc>
          <w:tcPr>
            <w:tcW w:w="180" w:type="dxa"/>
            <w:vAlign w:val="bottom"/>
          </w:tcPr>
          <w:p>
            <w:pPr>
              <w:spacing w:after="0"/>
              <w:rPr>
                <w:sz w:val="16"/>
                <w:szCs w:val="16"/>
                <w:color w:val="auto"/>
              </w:rPr>
            </w:pPr>
          </w:p>
        </w:tc>
        <w:tc>
          <w:tcPr>
            <w:tcW w:w="1280" w:type="dxa"/>
            <w:vAlign w:val="bottom"/>
          </w:tcPr>
          <w:p>
            <w:pPr>
              <w:jc w:val="center"/>
              <w:ind w:right="88"/>
              <w:spacing w:after="0"/>
              <w:rPr>
                <w:sz w:val="20"/>
                <w:szCs w:val="20"/>
                <w:color w:val="auto"/>
              </w:rPr>
            </w:pPr>
            <w:r>
              <w:rPr>
                <w:rFonts w:ascii="Arial" w:cs="Arial" w:eastAsia="Arial" w:hAnsi="Arial"/>
                <w:sz w:val="14"/>
                <w:szCs w:val="14"/>
                <w:b w:val="1"/>
                <w:bCs w:val="1"/>
                <w:color w:val="auto"/>
                <w:w w:val="85"/>
              </w:rPr>
              <w:t>Loss</w:t>
            </w:r>
          </w:p>
        </w:tc>
        <w:tc>
          <w:tcPr>
            <w:tcW w:w="120" w:type="dxa"/>
            <w:vAlign w:val="bottom"/>
          </w:tcPr>
          <w:p>
            <w:pPr>
              <w:spacing w:after="0"/>
              <w:rPr>
                <w:sz w:val="16"/>
                <w:szCs w:val="16"/>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b w:val="1"/>
                <w:bCs w:val="1"/>
                <w:color w:val="auto"/>
                <w:w w:val="93"/>
              </w:rPr>
              <w:t>Earnings</w:t>
            </w:r>
          </w:p>
        </w:tc>
        <w:tc>
          <w:tcPr>
            <w:tcW w:w="120" w:type="dxa"/>
            <w:vAlign w:val="bottom"/>
          </w:tcPr>
          <w:p>
            <w:pPr>
              <w:spacing w:after="0"/>
              <w:rPr>
                <w:sz w:val="16"/>
                <w:szCs w:val="16"/>
                <w:color w:val="auto"/>
              </w:rPr>
            </w:pPr>
          </w:p>
        </w:tc>
        <w:tc>
          <w:tcPr>
            <w:tcW w:w="740" w:type="dxa"/>
            <w:vAlign w:val="bottom"/>
          </w:tcPr>
          <w:p>
            <w:pPr>
              <w:jc w:val="center"/>
              <w:ind w:right="48"/>
              <w:spacing w:after="0"/>
              <w:rPr>
                <w:sz w:val="20"/>
                <w:szCs w:val="20"/>
                <w:color w:val="auto"/>
              </w:rPr>
            </w:pPr>
            <w:r>
              <w:rPr>
                <w:rFonts w:ascii="Arial" w:cs="Arial" w:eastAsia="Arial" w:hAnsi="Arial"/>
                <w:sz w:val="14"/>
                <w:szCs w:val="14"/>
                <w:b w:val="1"/>
                <w:bCs w:val="1"/>
                <w:color w:val="auto"/>
                <w:w w:val="89"/>
              </w:rPr>
              <w:t>Stock</w:t>
            </w:r>
          </w:p>
        </w:tc>
        <w:tc>
          <w:tcPr>
            <w:tcW w:w="140" w:type="dxa"/>
            <w:vAlign w:val="bottom"/>
          </w:tcPr>
          <w:p>
            <w:pPr>
              <w:spacing w:after="0"/>
              <w:rPr>
                <w:sz w:val="16"/>
                <w:szCs w:val="16"/>
                <w:color w:val="auto"/>
              </w:rPr>
            </w:pPr>
          </w:p>
        </w:tc>
        <w:tc>
          <w:tcPr>
            <w:tcW w:w="1160" w:type="dxa"/>
            <w:vAlign w:val="bottom"/>
          </w:tcPr>
          <w:p>
            <w:pPr>
              <w:jc w:val="right"/>
              <w:ind w:right="308"/>
              <w:spacing w:after="0"/>
              <w:rPr>
                <w:sz w:val="20"/>
                <w:szCs w:val="20"/>
                <w:color w:val="auto"/>
              </w:rPr>
            </w:pPr>
            <w:r>
              <w:rPr>
                <w:rFonts w:ascii="Arial" w:cs="Arial" w:eastAsia="Arial" w:hAnsi="Arial"/>
                <w:sz w:val="14"/>
                <w:szCs w:val="14"/>
                <w:b w:val="1"/>
                <w:bCs w:val="1"/>
                <w:color w:val="auto"/>
              </w:rPr>
              <w:t>Interests</w:t>
            </w:r>
          </w:p>
        </w:tc>
        <w:tc>
          <w:tcPr>
            <w:tcW w:w="120" w:type="dxa"/>
            <w:vAlign w:val="bottom"/>
          </w:tcPr>
          <w:p>
            <w:pPr>
              <w:spacing w:after="0"/>
              <w:rPr>
                <w:sz w:val="16"/>
                <w:szCs w:val="16"/>
                <w:color w:val="auto"/>
              </w:rPr>
            </w:pPr>
          </w:p>
        </w:tc>
        <w:tc>
          <w:tcPr>
            <w:tcW w:w="600" w:type="dxa"/>
            <w:vAlign w:val="bottom"/>
          </w:tcPr>
          <w:p>
            <w:pPr>
              <w:jc w:val="right"/>
              <w:ind w:right="6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5"/>
        </w:trPr>
        <w:tc>
          <w:tcPr>
            <w:tcW w:w="88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gridSpan w:val="2"/>
          </w:tcPr>
          <w:p>
            <w:pPr>
              <w:spacing w:after="0"/>
              <w:rPr>
                <w:sz w:val="2"/>
                <w:szCs w:val="2"/>
                <w:color w:val="auto"/>
              </w:rPr>
            </w:pPr>
          </w:p>
        </w:tc>
        <w:tc>
          <w:tcPr>
            <w:tcW w:w="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88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784</w:t>
            </w:r>
          </w:p>
        </w:tc>
        <w:tc>
          <w:tcPr>
            <w:tcW w:w="80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154</w:t>
            </w:r>
          </w:p>
        </w:tc>
        <w:tc>
          <w:tcPr>
            <w:tcW w:w="10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23,011</w:t>
            </w:r>
          </w:p>
        </w:tc>
        <w:tc>
          <w:tcPr>
            <w:tcW w:w="18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(1,189)</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17,376</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(8,378)</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699</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31,527</w:t>
            </w:r>
          </w:p>
        </w:tc>
        <w:tc>
          <w:tcPr>
            <w:tcW w:w="0" w:type="dxa"/>
            <w:vAlign w:val="bottom"/>
          </w:tcPr>
          <w:p>
            <w:pPr>
              <w:spacing w:after="0"/>
              <w:rPr>
                <w:sz w:val="1"/>
                <w:szCs w:val="1"/>
                <w:color w:val="auto"/>
              </w:rPr>
            </w:pPr>
          </w:p>
        </w:tc>
      </w:tr>
      <w:tr>
        <w:trPr>
          <w:trHeight w:val="184"/>
        </w:trPr>
        <w:tc>
          <w:tcPr>
            <w:tcW w:w="8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1,246</w:t>
            </w: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1,258</w:t>
            </w:r>
          </w:p>
        </w:tc>
        <w:tc>
          <w:tcPr>
            <w:tcW w:w="0" w:type="dxa"/>
            <w:vAlign w:val="bottom"/>
          </w:tcPr>
          <w:p>
            <w:pPr>
              <w:spacing w:after="0"/>
              <w:rPr>
                <w:sz w:val="1"/>
                <w:szCs w:val="1"/>
                <w:color w:val="auto"/>
              </w:rPr>
            </w:pPr>
          </w:p>
        </w:tc>
      </w:tr>
      <w:tr>
        <w:trPr>
          <w:trHeight w:val="270"/>
        </w:trPr>
        <w:tc>
          <w:tcPr>
            <w:tcW w:w="8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70"/>
        </w:trPr>
        <w:tc>
          <w:tcPr>
            <w:tcW w:w="8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289</w:t>
            </w: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15</w:t>
            </w:r>
          </w:p>
        </w:tc>
        <w:tc>
          <w:tcPr>
            <w:tcW w:w="12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304</w:t>
            </w:r>
          </w:p>
        </w:tc>
        <w:tc>
          <w:tcPr>
            <w:tcW w:w="0" w:type="dxa"/>
            <w:vAlign w:val="bottom"/>
          </w:tcPr>
          <w:p>
            <w:pPr>
              <w:spacing w:after="0"/>
              <w:rPr>
                <w:sz w:val="1"/>
                <w:szCs w:val="1"/>
                <w:color w:val="auto"/>
              </w:rPr>
            </w:pPr>
          </w:p>
        </w:tc>
      </w:tr>
      <w:tr>
        <w:trPr>
          <w:trHeight w:val="203"/>
        </w:trPr>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199</w:t>
            </w: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199</w:t>
            </w:r>
          </w:p>
        </w:tc>
        <w:tc>
          <w:tcPr>
            <w:tcW w:w="0" w:type="dxa"/>
            <w:vAlign w:val="bottom"/>
          </w:tcPr>
          <w:p>
            <w:pPr>
              <w:spacing w:after="0"/>
              <w:rPr>
                <w:sz w:val="1"/>
                <w:szCs w:val="1"/>
                <w:color w:val="auto"/>
              </w:rPr>
            </w:pPr>
          </w:p>
        </w:tc>
      </w:tr>
      <w:tr>
        <w:trPr>
          <w:trHeight w:val="203"/>
        </w:trPr>
        <w:tc>
          <w:tcPr>
            <w:tcW w:w="8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(222)</w:t>
            </w: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144</w:t>
            </w: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(78)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-1480185</wp:posOffset>
            </wp:positionH>
            <wp:positionV relativeFrom="paragraph">
              <wp:posOffset>-840740</wp:posOffset>
            </wp:positionV>
            <wp:extent cx="7132320" cy="1289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-1480185</wp:posOffset>
            </wp:positionH>
            <wp:positionV relativeFrom="paragraph">
              <wp:posOffset>-583565</wp:posOffset>
            </wp:positionV>
            <wp:extent cx="7132320" cy="21463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214630"/>
                    </a:xfrm>
                    <a:prstGeom prst="rect">
                      <a:avLst/>
                    </a:prstGeom>
                    <a:noFill/>
                  </pic:spPr>
                </pic:pic>
              </a:graphicData>
            </a:graphic>
          </wp:anchor>
        </w:drawing>
        <w:drawing>
          <wp:anchor simplePos="0" relativeHeight="251657728" behindDoc="1" locked="0" layoutInCell="0" allowOverlap="1">
            <wp:simplePos x="0" y="0"/>
            <wp:positionH relativeFrom="column">
              <wp:posOffset>-1480185</wp:posOffset>
            </wp:positionH>
            <wp:positionV relativeFrom="paragraph">
              <wp:posOffset>-240665</wp:posOffset>
            </wp:positionV>
            <wp:extent cx="7132320" cy="1289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2100" w:space="240"/>
            <w:col w:w="8900"/>
          </w:cols>
          <w:pgMar w:left="320" w:top="125" w:right="339" w:bottom="1440" w:gutter="0" w:footer="0" w:header="0"/>
          <w:type w:val="continuous"/>
        </w:sectPr>
      </w:pPr>
    </w:p>
    <w:tbl>
      <w:tblPr>
        <w:tblLayout w:type="fixed"/>
        <w:tblInd w:w="0" w:type="dxa"/>
        <w:tblCellMar>
          <w:top w:w="0" w:type="dxa"/>
          <w:left w:w="0" w:type="dxa"/>
          <w:bottom w:w="0" w:type="dxa"/>
          <w:right w:w="0" w:type="dxa"/>
        </w:tblCellMar>
      </w:tblPr>
      <w:tr>
        <w:trPr>
          <w:trHeight w:val="181"/>
        </w:trPr>
        <w:tc>
          <w:tcPr>
            <w:tcW w:w="2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Purchases of treasury stock</w:t>
            </w:r>
          </w:p>
        </w:tc>
        <w:tc>
          <w:tcPr>
            <w:tcW w:w="108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22</w:t>
            </w:r>
          </w:p>
        </w:tc>
        <w:tc>
          <w:tcPr>
            <w:tcW w:w="10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(2,493)</w:t>
            </w:r>
          </w:p>
        </w:tc>
        <w:tc>
          <w:tcPr>
            <w:tcW w:w="58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(2,493)</w:t>
            </w:r>
          </w:p>
        </w:tc>
      </w:tr>
      <w:tr>
        <w:trPr>
          <w:trHeight w:val="190"/>
        </w:trPr>
        <w:tc>
          <w:tcPr>
            <w:tcW w:w="2340" w:type="dxa"/>
            <w:vAlign w:val="bottom"/>
          </w:tcPr>
          <w:p>
            <w:pPr>
              <w:ind w:left="20"/>
              <w:spacing w:after="0"/>
              <w:rPr>
                <w:sz w:val="20"/>
                <w:szCs w:val="20"/>
                <w:color w:val="auto"/>
              </w:rPr>
            </w:pPr>
            <w:r>
              <w:rPr>
                <w:rFonts w:ascii="Arial" w:cs="Arial" w:eastAsia="Arial" w:hAnsi="Arial"/>
                <w:sz w:val="14"/>
                <w:szCs w:val="14"/>
                <w:color w:val="auto"/>
              </w:rPr>
              <w:t>Balance at June 30, 2023</w:t>
            </w:r>
          </w:p>
        </w:tc>
        <w:tc>
          <w:tcPr>
            <w:tcW w:w="1080" w:type="dxa"/>
            <w:vAlign w:val="bottom"/>
          </w:tcPr>
          <w:p>
            <w:pPr>
              <w:jc w:val="right"/>
              <w:ind w:right="248"/>
              <w:spacing w:after="0"/>
              <w:rPr>
                <w:sz w:val="20"/>
                <w:szCs w:val="20"/>
                <w:color w:val="auto"/>
              </w:rPr>
            </w:pPr>
            <w:r>
              <w:rPr>
                <w:rFonts w:ascii="Arial" w:cs="Arial" w:eastAsia="Arial" w:hAnsi="Arial"/>
                <w:sz w:val="14"/>
                <w:szCs w:val="14"/>
                <w:color w:val="auto"/>
              </w:rPr>
              <w:t>784</w:t>
            </w: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173</w:t>
            </w:r>
          </w:p>
        </w:tc>
        <w:tc>
          <w:tcPr>
            <w:tcW w:w="52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420" w:type="dxa"/>
            <w:vAlign w:val="bottom"/>
          </w:tcPr>
          <w:p>
            <w:pPr>
              <w:jc w:val="right"/>
              <w:spacing w:after="0"/>
              <w:rPr>
                <w:sz w:val="20"/>
                <w:szCs w:val="20"/>
                <w:color w:val="auto"/>
              </w:rPr>
            </w:pPr>
            <w:r>
              <w:rPr>
                <w:rFonts w:ascii="Arial" w:cs="Arial" w:eastAsia="Arial" w:hAnsi="Arial"/>
                <w:sz w:val="14"/>
                <w:szCs w:val="14"/>
                <w:color w:val="auto"/>
              </w:rPr>
              <w:t>8</w:t>
            </w:r>
          </w:p>
        </w:tc>
        <w:tc>
          <w:tcPr>
            <w:tcW w:w="40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22,988</w:t>
            </w:r>
          </w:p>
        </w:tc>
        <w:tc>
          <w:tcPr>
            <w:tcW w:w="620" w:type="dxa"/>
            <w:vAlign w:val="bottom"/>
          </w:tcPr>
          <w:p>
            <w:pPr>
              <w:jc w:val="right"/>
              <w:ind w:right="44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(900)</w:t>
            </w: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18,622</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(10,727)</w:t>
            </w:r>
          </w:p>
        </w:tc>
        <w:tc>
          <w:tcPr>
            <w:tcW w:w="580" w:type="dxa"/>
            <w:vAlign w:val="bottom"/>
          </w:tcPr>
          <w:p>
            <w:pPr>
              <w:jc w:val="right"/>
              <w:ind w:right="408"/>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725</w:t>
            </w:r>
          </w:p>
        </w:tc>
        <w:tc>
          <w:tcPr>
            <w:tcW w:w="740" w:type="dxa"/>
            <w:vAlign w:val="bottom"/>
          </w:tcPr>
          <w:p>
            <w:pPr>
              <w:jc w:val="right"/>
              <w:spacing w:after="0"/>
              <w:rPr>
                <w:sz w:val="20"/>
                <w:szCs w:val="20"/>
                <w:color w:val="auto"/>
              </w:rPr>
            </w:pPr>
            <w:r>
              <w:rPr>
                <w:rFonts w:ascii="Arial" w:cs="Arial" w:eastAsia="Arial" w:hAnsi="Arial"/>
                <w:sz w:val="14"/>
                <w:szCs w:val="14"/>
                <w:color w:val="auto"/>
              </w:rPr>
              <w:t>$  30,716</w:t>
            </w:r>
          </w:p>
        </w:tc>
      </w:tr>
      <w:tr>
        <w:trPr>
          <w:trHeight w:val="27"/>
        </w:trPr>
        <w:tc>
          <w:tcPr>
            <w:tcW w:w="2340" w:type="dxa"/>
            <w:vAlign w:val="bottom"/>
          </w:tcPr>
          <w:p>
            <w:pPr>
              <w:spacing w:after="0"/>
              <w:rPr>
                <w:sz w:val="2"/>
                <w:szCs w:val="2"/>
                <w:color w:val="auto"/>
              </w:rPr>
            </w:pPr>
          </w:p>
        </w:tc>
        <w:tc>
          <w:tcPr>
            <w:tcW w:w="1080" w:type="dxa"/>
            <w:vAlign w:val="bottom"/>
            <w:tcBorders>
              <w:top w:val="single" w:sz="8" w:color="auto"/>
              <w:bottom w:val="single" w:sz="8" w:color="auto"/>
            </w:tcBorders>
          </w:tcPr>
          <w:p>
            <w:pPr>
              <w:spacing w:after="0"/>
              <w:rPr>
                <w:sz w:val="2"/>
                <w:szCs w:val="2"/>
                <w:color w:val="auto"/>
              </w:rPr>
            </w:pPr>
          </w:p>
        </w:tc>
        <w:tc>
          <w:tcPr>
            <w:tcW w:w="60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top w:val="single" w:sz="8" w:color="auto"/>
              <w:bottom w:val="single" w:sz="8" w:color="auto"/>
            </w:tcBorders>
          </w:tcPr>
          <w:p>
            <w:pPr>
              <w:spacing w:after="0"/>
              <w:rPr>
                <w:sz w:val="2"/>
                <w:szCs w:val="2"/>
                <w:color w:val="auto"/>
              </w:rPr>
            </w:pPr>
          </w:p>
        </w:tc>
        <w:tc>
          <w:tcPr>
            <w:tcW w:w="420" w:type="dxa"/>
            <w:vAlign w:val="bottom"/>
            <w:tcBorders>
              <w:top w:val="single" w:sz="8" w:color="auto"/>
              <w:bottom w:val="single" w:sz="8" w:color="auto"/>
            </w:tcBorders>
          </w:tcPr>
          <w:p>
            <w:pPr>
              <w:spacing w:after="0"/>
              <w:rPr>
                <w:sz w:val="2"/>
                <w:szCs w:val="2"/>
                <w:color w:val="auto"/>
              </w:rPr>
            </w:pPr>
          </w:p>
        </w:tc>
        <w:tc>
          <w:tcPr>
            <w:tcW w:w="400" w:type="dxa"/>
            <w:vAlign w:val="bottom"/>
            <w:tcBorders>
              <w:top w:val="single" w:sz="8" w:color="auto"/>
              <w:bottom w:val="single" w:sz="8" w:color="auto"/>
            </w:tcBorders>
          </w:tcPr>
          <w:p>
            <w:pPr>
              <w:spacing w:after="0"/>
              <w:rPr>
                <w:sz w:val="2"/>
                <w:szCs w:val="2"/>
                <w:color w:val="auto"/>
              </w:rPr>
            </w:pPr>
          </w:p>
        </w:tc>
        <w:tc>
          <w:tcPr>
            <w:tcW w:w="720" w:type="dxa"/>
            <w:vAlign w:val="bottom"/>
            <w:tcBorders>
              <w:top w:val="single" w:sz="8" w:color="auto"/>
              <w:bottom w:val="single" w:sz="8" w:color="auto"/>
            </w:tcBorders>
          </w:tcPr>
          <w:p>
            <w:pPr>
              <w:spacing w:after="0"/>
              <w:rPr>
                <w:sz w:val="2"/>
                <w:szCs w:val="2"/>
                <w:color w:val="auto"/>
              </w:rPr>
            </w:pPr>
          </w:p>
        </w:tc>
        <w:tc>
          <w:tcPr>
            <w:tcW w:w="620" w:type="dxa"/>
            <w:vAlign w:val="bottom"/>
            <w:tcBorders>
              <w:top w:val="single" w:sz="8" w:color="auto"/>
              <w:bottom w:val="single" w:sz="8" w:color="auto"/>
            </w:tcBorders>
          </w:tcPr>
          <w:p>
            <w:pPr>
              <w:spacing w:after="0"/>
              <w:rPr>
                <w:sz w:val="2"/>
                <w:szCs w:val="2"/>
                <w:color w:val="auto"/>
              </w:rPr>
            </w:pPr>
          </w:p>
        </w:tc>
        <w:tc>
          <w:tcPr>
            <w:tcW w:w="840" w:type="dxa"/>
            <w:vAlign w:val="bottom"/>
            <w:tcBorders>
              <w:top w:val="single" w:sz="8" w:color="auto"/>
              <w:bottom w:val="single" w:sz="8" w:color="auto"/>
            </w:tcBorders>
          </w:tcPr>
          <w:p>
            <w:pPr>
              <w:spacing w:after="0"/>
              <w:rPr>
                <w:sz w:val="2"/>
                <w:szCs w:val="2"/>
                <w:color w:val="auto"/>
              </w:rPr>
            </w:pPr>
          </w:p>
        </w:tc>
        <w:tc>
          <w:tcPr>
            <w:tcW w:w="240" w:type="dxa"/>
            <w:vAlign w:val="bottom"/>
            <w:tcBorders>
              <w:top w:val="single" w:sz="8" w:color="auto"/>
              <w:bottom w:val="single" w:sz="8" w:color="auto"/>
            </w:tcBorders>
          </w:tcPr>
          <w:p>
            <w:pPr>
              <w:spacing w:after="0"/>
              <w:rPr>
                <w:sz w:val="2"/>
                <w:szCs w:val="2"/>
                <w:color w:val="auto"/>
              </w:rPr>
            </w:pPr>
          </w:p>
        </w:tc>
        <w:tc>
          <w:tcPr>
            <w:tcW w:w="580" w:type="dxa"/>
            <w:vAlign w:val="bottom"/>
            <w:tcBorders>
              <w:top w:val="single" w:sz="8" w:color="auto"/>
              <w:bottom w:val="single" w:sz="8" w:color="auto"/>
            </w:tcBorders>
          </w:tcPr>
          <w:p>
            <w:pPr>
              <w:spacing w:after="0"/>
              <w:rPr>
                <w:sz w:val="2"/>
                <w:szCs w:val="2"/>
                <w:color w:val="auto"/>
              </w:rPr>
            </w:pPr>
          </w:p>
        </w:tc>
        <w:tc>
          <w:tcPr>
            <w:tcW w:w="220" w:type="dxa"/>
            <w:vAlign w:val="bottom"/>
            <w:tcBorders>
              <w:top w:val="single" w:sz="8" w:color="auto"/>
              <w:bottom w:val="single" w:sz="8" w:color="auto"/>
            </w:tcBorders>
          </w:tcPr>
          <w:p>
            <w:pPr>
              <w:spacing w:after="0"/>
              <w:rPr>
                <w:sz w:val="2"/>
                <w:szCs w:val="2"/>
                <w:color w:val="auto"/>
              </w:rPr>
            </w:pPr>
          </w:p>
        </w:tc>
        <w:tc>
          <w:tcPr>
            <w:tcW w:w="620" w:type="dxa"/>
            <w:vAlign w:val="bottom"/>
            <w:tcBorders>
              <w:top w:val="single" w:sz="8" w:color="auto"/>
              <w:bottom w:val="single" w:sz="8" w:color="auto"/>
            </w:tcBorders>
          </w:tcPr>
          <w:p>
            <w:pPr>
              <w:spacing w:after="0"/>
              <w:rPr>
                <w:sz w:val="2"/>
                <w:szCs w:val="2"/>
                <w:color w:val="auto"/>
              </w:rPr>
            </w:pPr>
          </w:p>
        </w:tc>
        <w:tc>
          <w:tcPr>
            <w:tcW w:w="580" w:type="dxa"/>
            <w:vAlign w:val="bottom"/>
            <w:tcBorders>
              <w:top w:val="single" w:sz="8" w:color="auto"/>
              <w:bottom w:val="single" w:sz="8" w:color="auto"/>
            </w:tcBorders>
          </w:tcPr>
          <w:p>
            <w:pPr>
              <w:spacing w:after="0"/>
              <w:rPr>
                <w:sz w:val="2"/>
                <w:szCs w:val="2"/>
                <w:color w:val="auto"/>
              </w:rPr>
            </w:pPr>
          </w:p>
        </w:tc>
        <w:tc>
          <w:tcPr>
            <w:tcW w:w="720" w:type="dxa"/>
            <w:vAlign w:val="bottom"/>
            <w:tcBorders>
              <w:top w:val="single" w:sz="8" w:color="auto"/>
              <w:bottom w:val="single" w:sz="8" w:color="auto"/>
            </w:tcBorders>
          </w:tcPr>
          <w:p>
            <w:pPr>
              <w:spacing w:after="0"/>
              <w:rPr>
                <w:sz w:val="2"/>
                <w:szCs w:val="2"/>
                <w:color w:val="auto"/>
              </w:rPr>
            </w:pPr>
          </w:p>
        </w:tc>
        <w:tc>
          <w:tcPr>
            <w:tcW w:w="740" w:type="dxa"/>
            <w:vAlign w:val="bottom"/>
            <w:tcBorders>
              <w:top w:val="single" w:sz="8" w:color="auto"/>
              <w:bottom w:val="single" w:sz="8" w:color="auto"/>
            </w:tcBorders>
          </w:tcPr>
          <w:p>
            <w:pPr>
              <w:spacing w:after="0"/>
              <w:rPr>
                <w:sz w:val="2"/>
                <w:szCs w:val="2"/>
                <w:color w:val="auto"/>
              </w:rPr>
            </w:pPr>
          </w:p>
        </w:tc>
      </w:tr>
    </w:tbl>
    <w:p>
      <w:pPr>
        <w:spacing w:after="0" w:line="274" w:lineRule="exact"/>
        <w:rPr>
          <w:sz w:val="20"/>
          <w:szCs w:val="20"/>
          <w:color w:val="auto"/>
        </w:rPr>
      </w:pPr>
    </w:p>
    <w:p>
      <w:pPr>
        <w:ind w:left="660" w:hanging="328"/>
        <w:spacing w:after="0" w:line="223" w:lineRule="auto"/>
        <w:tabs>
          <w:tab w:leader="none" w:pos="660" w:val="left"/>
        </w:tabs>
        <w:numPr>
          <w:ilvl w:val="0"/>
          <w:numId w:val="6"/>
        </w:numPr>
        <w:rPr>
          <w:rFonts w:ascii="Arial" w:cs="Arial" w:eastAsia="Arial" w:hAnsi="Arial"/>
          <w:sz w:val="21"/>
          <w:szCs w:val="21"/>
          <w:color w:val="auto"/>
          <w:vertAlign w:val="superscript"/>
        </w:rPr>
      </w:pPr>
      <w:r>
        <w:rPr>
          <w:rFonts w:ascii="Arial" w:cs="Arial" w:eastAsia="Arial" w:hAnsi="Arial"/>
          <w:sz w:val="16"/>
          <w:szCs w:val="16"/>
          <w:color w:val="auto"/>
        </w:rPr>
        <w:t>The total net income presented in equity for the six months ended June 30, 2023 is different than the amount presented in the consolidated statement of income due to the net income attributable to redeemable noncontrolling interests of $13 million not included in equity.</w:t>
      </w:r>
    </w:p>
    <w:p>
      <w:pPr>
        <w:spacing w:after="0" w:line="36" w:lineRule="exact"/>
        <w:rPr>
          <w:rFonts w:ascii="Arial" w:cs="Arial" w:eastAsia="Arial" w:hAnsi="Arial"/>
          <w:sz w:val="21"/>
          <w:szCs w:val="21"/>
          <w:color w:val="auto"/>
          <w:vertAlign w:val="superscript"/>
        </w:rPr>
      </w:pPr>
    </w:p>
    <w:p>
      <w:pPr>
        <w:ind w:left="660" w:right="20" w:hanging="328"/>
        <w:spacing w:after="0" w:line="230" w:lineRule="auto"/>
        <w:tabs>
          <w:tab w:leader="none" w:pos="660" w:val="left"/>
        </w:tabs>
        <w:numPr>
          <w:ilvl w:val="0"/>
          <w:numId w:val="6"/>
        </w:numPr>
        <w:rPr>
          <w:rFonts w:ascii="Arial" w:cs="Arial" w:eastAsia="Arial" w:hAnsi="Arial"/>
          <w:sz w:val="21"/>
          <w:szCs w:val="21"/>
          <w:color w:val="auto"/>
          <w:vertAlign w:val="superscript"/>
        </w:rPr>
      </w:pPr>
      <w:r>
        <w:rPr>
          <w:rFonts w:ascii="Arial" w:cs="Arial" w:eastAsia="Arial" w:hAnsi="Arial"/>
          <w:sz w:val="16"/>
          <w:szCs w:val="16"/>
          <w:color w:val="auto"/>
        </w:rPr>
        <w:t>The total distributions presented in equity for the six months ended June 30, 2023 excludes $13 million in distributions paid to redeemable noncontrolling interests not included in equity.</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3" w:name="page24"/>
    <w:bookmarkEnd w:id="2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180" w:type="dxa"/>
            <w:vAlign w:val="bottom"/>
            <w:gridSpan w:val="5"/>
          </w:tcPr>
          <w:p>
            <w:pPr>
              <w:jc w:val="right"/>
              <w:ind w:right="608"/>
              <w:spacing w:after="0"/>
              <w:rPr>
                <w:sz w:val="20"/>
                <w:szCs w:val="20"/>
                <w:color w:val="auto"/>
              </w:rPr>
            </w:pPr>
            <w:r>
              <w:rPr>
                <w:rFonts w:ascii="Arial" w:cs="Arial" w:eastAsia="Arial" w:hAnsi="Arial"/>
                <w:sz w:val="14"/>
                <w:szCs w:val="14"/>
                <w:b w:val="1"/>
                <w:bCs w:val="1"/>
                <w:color w:val="auto"/>
              </w:rPr>
              <w:t>Fiserv, Inc. Shareholders’ Equity</w:t>
            </w: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23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Six Months Ended</w:t>
            </w:r>
          </w:p>
        </w:tc>
        <w:tc>
          <w:tcPr>
            <w:tcW w:w="8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320" w:type="dxa"/>
            <w:vAlign w:val="bottom"/>
            <w:gridSpan w:val="2"/>
            <w:vMerge w:val="continue"/>
          </w:tcPr>
          <w:p>
            <w:pPr>
              <w:spacing w:after="0"/>
              <w:rPr>
                <w:sz w:val="15"/>
                <w:szCs w:val="15"/>
                <w:color w:val="auto"/>
              </w:rPr>
            </w:pPr>
          </w:p>
        </w:tc>
        <w:tc>
          <w:tcPr>
            <w:tcW w:w="1680" w:type="dxa"/>
            <w:vAlign w:val="bottom"/>
            <w:gridSpan w:val="2"/>
            <w:vMerge w:val="restart"/>
          </w:tcPr>
          <w:p>
            <w:pPr>
              <w:jc w:val="right"/>
              <w:ind w:right="208"/>
              <w:spacing w:after="0"/>
              <w:rPr>
                <w:sz w:val="20"/>
                <w:szCs w:val="20"/>
                <w:color w:val="auto"/>
              </w:rPr>
            </w:pPr>
            <w:r>
              <w:rPr>
                <w:rFonts w:ascii="Arial" w:cs="Arial" w:eastAsia="Arial" w:hAnsi="Arial"/>
                <w:sz w:val="14"/>
                <w:szCs w:val="14"/>
                <w:b w:val="1"/>
                <w:bCs w:val="1"/>
                <w:color w:val="auto"/>
              </w:rPr>
              <w:t>Number of Shares</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40" w:type="dxa"/>
            <w:vAlign w:val="bottom"/>
            <w:gridSpan w:val="2"/>
            <w:vMerge w:val="restart"/>
          </w:tcPr>
          <w:p>
            <w:pPr>
              <w:jc w:val="right"/>
              <w:ind w:right="248"/>
              <w:spacing w:after="0"/>
              <w:rPr>
                <w:sz w:val="20"/>
                <w:szCs w:val="20"/>
                <w:color w:val="auto"/>
              </w:rPr>
            </w:pPr>
            <w:r>
              <w:rPr>
                <w:rFonts w:ascii="Arial" w:cs="Arial" w:eastAsia="Arial" w:hAnsi="Arial"/>
                <w:sz w:val="14"/>
                <w:szCs w:val="14"/>
                <w:b w:val="1"/>
                <w:bCs w:val="1"/>
                <w:color w:val="auto"/>
                <w:w w:val="94"/>
              </w:rPr>
              <w:t>Amount</w:t>
            </w: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320" w:type="dxa"/>
            <w:vAlign w:val="bottom"/>
            <w:gridSpan w:val="2"/>
          </w:tcPr>
          <w:p>
            <w:pPr>
              <w:spacing w:after="0"/>
              <w:rPr>
                <w:sz w:val="20"/>
                <w:szCs w:val="20"/>
                <w:color w:val="auto"/>
              </w:rPr>
            </w:pPr>
            <w:r>
              <w:rPr>
                <w:rFonts w:ascii="Arial" w:cs="Arial" w:eastAsia="Arial" w:hAnsi="Arial"/>
                <w:sz w:val="14"/>
                <w:szCs w:val="14"/>
                <w:b w:val="1"/>
                <w:bCs w:val="1"/>
                <w:color w:val="auto"/>
              </w:rPr>
              <w:t>June 30, 2022</w:t>
            </w:r>
          </w:p>
        </w:tc>
        <w:tc>
          <w:tcPr>
            <w:tcW w:w="1680" w:type="dxa"/>
            <w:vAlign w:val="bottom"/>
            <w:tcBorders>
              <w:bottom w:val="single" w:sz="8" w:color="auto"/>
            </w:tcBorders>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Additional</w:t>
            </w:r>
          </w:p>
        </w:tc>
        <w:tc>
          <w:tcPr>
            <w:tcW w:w="140" w:type="dxa"/>
            <w:vAlign w:val="bottom"/>
          </w:tcPr>
          <w:p>
            <w:pPr>
              <w:spacing w:after="0"/>
              <w:rPr>
                <w:sz w:val="12"/>
                <w:szCs w:val="12"/>
                <w:color w:val="auto"/>
              </w:rPr>
            </w:pPr>
          </w:p>
        </w:tc>
        <w:tc>
          <w:tcPr>
            <w:tcW w:w="1180" w:type="dxa"/>
            <w:vAlign w:val="bottom"/>
          </w:tcPr>
          <w:p>
            <w:pPr>
              <w:jc w:val="center"/>
              <w:ind w:right="48"/>
              <w:spacing w:after="0" w:line="139" w:lineRule="exact"/>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88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Common</w:t>
            </w:r>
          </w:p>
        </w:tc>
        <w:tc>
          <w:tcPr>
            <w:tcW w:w="80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Treasury</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w w:val="95"/>
              </w:rPr>
              <w:t>Common</w:t>
            </w:r>
          </w:p>
        </w:tc>
        <w:tc>
          <w:tcPr>
            <w:tcW w:w="18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jc w:val="center"/>
              <w:ind w:right="48"/>
              <w:spacing w:after="0" w:line="145" w:lineRule="exact"/>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2"/>
                <w:szCs w:val="12"/>
                <w:color w:val="auto"/>
              </w:rPr>
            </w:pPr>
          </w:p>
        </w:tc>
        <w:tc>
          <w:tcPr>
            <w:tcW w:w="70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w w:val="94"/>
              </w:rPr>
              <w:t>Retained</w:t>
            </w:r>
          </w:p>
        </w:tc>
        <w:tc>
          <w:tcPr>
            <w:tcW w:w="140" w:type="dxa"/>
            <w:vAlign w:val="bottom"/>
          </w:tcPr>
          <w:p>
            <w:pPr>
              <w:spacing w:after="0"/>
              <w:rPr>
                <w:sz w:val="12"/>
                <w:szCs w:val="12"/>
                <w:color w:val="auto"/>
              </w:rPr>
            </w:pPr>
          </w:p>
        </w:tc>
        <w:tc>
          <w:tcPr>
            <w:tcW w:w="70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w w:val="94"/>
              </w:rPr>
              <w:t>Treasury</w:t>
            </w:r>
          </w:p>
        </w:tc>
        <w:tc>
          <w:tcPr>
            <w:tcW w:w="160" w:type="dxa"/>
            <w:vAlign w:val="bottom"/>
          </w:tcPr>
          <w:p>
            <w:pPr>
              <w:spacing w:after="0"/>
              <w:rPr>
                <w:sz w:val="12"/>
                <w:szCs w:val="12"/>
                <w:color w:val="auto"/>
              </w:rPr>
            </w:pPr>
          </w:p>
        </w:tc>
        <w:tc>
          <w:tcPr>
            <w:tcW w:w="114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w w:val="94"/>
              </w:rPr>
              <w:t>Noncontrolling</w:t>
            </w: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3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w:t>
            </w:r>
          </w:p>
        </w:tc>
        <w:tc>
          <w:tcPr>
            <w:tcW w:w="880" w:type="dxa"/>
            <w:vAlign w:val="bottom"/>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jc w:val="right"/>
              <w:ind w:right="248"/>
              <w:spacing w:after="0" w:line="139" w:lineRule="exact"/>
              <w:rPr>
                <w:sz w:val="20"/>
                <w:szCs w:val="20"/>
                <w:color w:val="auto"/>
              </w:rPr>
            </w:pPr>
            <w:r>
              <w:rPr>
                <w:rFonts w:ascii="Arial" w:cs="Arial" w:eastAsia="Arial" w:hAnsi="Arial"/>
                <w:sz w:val="14"/>
                <w:szCs w:val="14"/>
                <w:b w:val="1"/>
                <w:bCs w:val="1"/>
                <w:color w:val="auto"/>
              </w:rPr>
              <w:t>Paid-In</w:t>
            </w:r>
          </w:p>
        </w:tc>
        <w:tc>
          <w:tcPr>
            <w:tcW w:w="140" w:type="dxa"/>
            <w:vAlign w:val="bottom"/>
          </w:tcPr>
          <w:p>
            <w:pPr>
              <w:spacing w:after="0"/>
              <w:rPr>
                <w:sz w:val="12"/>
                <w:szCs w:val="12"/>
                <w:color w:val="auto"/>
              </w:rPr>
            </w:pPr>
          </w:p>
        </w:tc>
        <w:tc>
          <w:tcPr>
            <w:tcW w:w="1180" w:type="dxa"/>
            <w:vAlign w:val="bottom"/>
          </w:tcPr>
          <w:p>
            <w:pPr>
              <w:jc w:val="center"/>
              <w:ind w:right="48"/>
              <w:spacing w:after="0" w:line="139" w:lineRule="exact"/>
              <w:rPr>
                <w:sz w:val="20"/>
                <w:szCs w:val="20"/>
                <w:color w:val="auto"/>
              </w:rPr>
            </w:pPr>
            <w:r>
              <w:rPr>
                <w:rFonts w:ascii="Arial" w:cs="Arial" w:eastAsia="Arial" w:hAnsi="Arial"/>
                <w:sz w:val="14"/>
                <w:szCs w:val="14"/>
                <w:b w:val="1"/>
                <w:bCs w:val="1"/>
                <w:color w:val="auto"/>
                <w:w w:val="89"/>
              </w:rPr>
              <w:t>Comprehensive</w:t>
            </w:r>
          </w:p>
        </w:tc>
        <w:tc>
          <w:tcPr>
            <w:tcW w:w="14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8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7"/>
              </w:rPr>
              <w:t>Total Equity</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2320" w:type="dxa"/>
            <w:vAlign w:val="bottom"/>
            <w:gridSpan w:val="2"/>
            <w:vMerge w:val="continue"/>
          </w:tcPr>
          <w:p>
            <w:pPr>
              <w:spacing w:after="0"/>
              <w:rPr>
                <w:sz w:val="13"/>
                <w:szCs w:val="13"/>
                <w:color w:val="auto"/>
              </w:rPr>
            </w:pPr>
          </w:p>
        </w:tc>
        <w:tc>
          <w:tcPr>
            <w:tcW w:w="880" w:type="dxa"/>
            <w:vAlign w:val="bottom"/>
          </w:tcPr>
          <w:p>
            <w:pPr>
              <w:jc w:val="right"/>
              <w:ind w:right="188"/>
              <w:spacing w:after="0" w:line="158" w:lineRule="exact"/>
              <w:rPr>
                <w:sz w:val="20"/>
                <w:szCs w:val="20"/>
                <w:color w:val="auto"/>
              </w:rPr>
            </w:pPr>
            <w:r>
              <w:rPr>
                <w:rFonts w:ascii="Arial" w:cs="Arial" w:eastAsia="Arial" w:hAnsi="Arial"/>
                <w:sz w:val="14"/>
                <w:szCs w:val="14"/>
                <w:b w:val="1"/>
                <w:bCs w:val="1"/>
                <w:color w:val="auto"/>
              </w:rPr>
              <w:t>Shares</w:t>
            </w:r>
          </w:p>
        </w:tc>
        <w:tc>
          <w:tcPr>
            <w:tcW w:w="800" w:type="dxa"/>
            <w:vAlign w:val="bottom"/>
          </w:tcPr>
          <w:p>
            <w:pPr>
              <w:jc w:val="right"/>
              <w:ind w:right="148"/>
              <w:spacing w:after="0" w:line="158" w:lineRule="exact"/>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jc w:val="right"/>
              <w:ind w:right="168"/>
              <w:spacing w:after="0" w:line="158" w:lineRule="exact"/>
              <w:rPr>
                <w:sz w:val="20"/>
                <w:szCs w:val="20"/>
                <w:color w:val="auto"/>
              </w:rPr>
            </w:pPr>
            <w:r>
              <w:rPr>
                <w:rFonts w:ascii="Arial" w:cs="Arial" w:eastAsia="Arial" w:hAnsi="Arial"/>
                <w:sz w:val="14"/>
                <w:szCs w:val="14"/>
                <w:b w:val="1"/>
                <w:bCs w:val="1"/>
                <w:color w:val="auto"/>
              </w:rPr>
              <w:t>Stock</w:t>
            </w:r>
          </w:p>
        </w:tc>
        <w:tc>
          <w:tcPr>
            <w:tcW w:w="180" w:type="dxa"/>
            <w:vAlign w:val="bottom"/>
          </w:tcPr>
          <w:p>
            <w:pPr>
              <w:spacing w:after="0"/>
              <w:rPr>
                <w:sz w:val="13"/>
                <w:szCs w:val="13"/>
                <w:color w:val="auto"/>
              </w:rPr>
            </w:pPr>
          </w:p>
        </w:tc>
        <w:tc>
          <w:tcPr>
            <w:tcW w:w="940" w:type="dxa"/>
            <w:vAlign w:val="bottom"/>
          </w:tcPr>
          <w:p>
            <w:pPr>
              <w:jc w:val="right"/>
              <w:ind w:right="248"/>
              <w:spacing w:after="0" w:line="158" w:lineRule="exact"/>
              <w:rPr>
                <w:sz w:val="20"/>
                <w:szCs w:val="20"/>
                <w:color w:val="auto"/>
              </w:rPr>
            </w:pPr>
            <w:r>
              <w:rPr>
                <w:rFonts w:ascii="Arial" w:cs="Arial" w:eastAsia="Arial" w:hAnsi="Arial"/>
                <w:sz w:val="14"/>
                <w:szCs w:val="14"/>
                <w:b w:val="1"/>
                <w:bCs w:val="1"/>
                <w:color w:val="auto"/>
              </w:rPr>
              <w:t>Capital</w:t>
            </w:r>
          </w:p>
        </w:tc>
        <w:tc>
          <w:tcPr>
            <w:tcW w:w="140" w:type="dxa"/>
            <w:vAlign w:val="bottom"/>
          </w:tcPr>
          <w:p>
            <w:pPr>
              <w:spacing w:after="0"/>
              <w:rPr>
                <w:sz w:val="13"/>
                <w:szCs w:val="13"/>
                <w:color w:val="auto"/>
              </w:rPr>
            </w:pPr>
          </w:p>
        </w:tc>
        <w:tc>
          <w:tcPr>
            <w:tcW w:w="1180" w:type="dxa"/>
            <w:vAlign w:val="bottom"/>
          </w:tcPr>
          <w:p>
            <w:pPr>
              <w:jc w:val="center"/>
              <w:ind w:right="28"/>
              <w:spacing w:after="0" w:line="158" w:lineRule="exact"/>
              <w:rPr>
                <w:sz w:val="20"/>
                <w:szCs w:val="20"/>
                <w:color w:val="auto"/>
              </w:rPr>
            </w:pPr>
            <w:r>
              <w:rPr>
                <w:rFonts w:ascii="Arial" w:cs="Arial" w:eastAsia="Arial" w:hAnsi="Arial"/>
                <w:sz w:val="14"/>
                <w:szCs w:val="14"/>
                <w:b w:val="1"/>
                <w:bCs w:val="1"/>
                <w:color w:val="auto"/>
                <w:w w:val="85"/>
              </w:rPr>
              <w:t>Loss</w:t>
            </w:r>
          </w:p>
        </w:tc>
        <w:tc>
          <w:tcPr>
            <w:tcW w:w="140" w:type="dxa"/>
            <w:vAlign w:val="bottom"/>
          </w:tcPr>
          <w:p>
            <w:pPr>
              <w:spacing w:after="0"/>
              <w:rPr>
                <w:sz w:val="13"/>
                <w:szCs w:val="13"/>
                <w:color w:val="auto"/>
              </w:rPr>
            </w:pPr>
          </w:p>
        </w:tc>
        <w:tc>
          <w:tcPr>
            <w:tcW w:w="700" w:type="dxa"/>
            <w:vAlign w:val="bottom"/>
          </w:tcPr>
          <w:p>
            <w:pPr>
              <w:jc w:val="right"/>
              <w:ind w:right="48"/>
              <w:spacing w:after="0" w:line="158" w:lineRule="exact"/>
              <w:rPr>
                <w:sz w:val="20"/>
                <w:szCs w:val="20"/>
                <w:color w:val="auto"/>
              </w:rPr>
            </w:pPr>
            <w:r>
              <w:rPr>
                <w:rFonts w:ascii="Arial" w:cs="Arial" w:eastAsia="Arial" w:hAnsi="Arial"/>
                <w:sz w:val="14"/>
                <w:szCs w:val="14"/>
                <w:b w:val="1"/>
                <w:bCs w:val="1"/>
                <w:color w:val="auto"/>
                <w:w w:val="93"/>
              </w:rPr>
              <w:t>Earnings</w:t>
            </w:r>
          </w:p>
        </w:tc>
        <w:tc>
          <w:tcPr>
            <w:tcW w:w="140" w:type="dxa"/>
            <w:vAlign w:val="bottom"/>
          </w:tcPr>
          <w:p>
            <w:pPr>
              <w:spacing w:after="0"/>
              <w:rPr>
                <w:sz w:val="13"/>
                <w:szCs w:val="13"/>
                <w:color w:val="auto"/>
              </w:rPr>
            </w:pPr>
          </w:p>
        </w:tc>
        <w:tc>
          <w:tcPr>
            <w:tcW w:w="700" w:type="dxa"/>
            <w:vAlign w:val="bottom"/>
          </w:tcPr>
          <w:p>
            <w:pPr>
              <w:jc w:val="right"/>
              <w:ind w:right="168"/>
              <w:spacing w:after="0" w:line="158" w:lineRule="exact"/>
              <w:rPr>
                <w:sz w:val="20"/>
                <w:szCs w:val="20"/>
                <w:color w:val="auto"/>
              </w:rPr>
            </w:pPr>
            <w:r>
              <w:rPr>
                <w:rFonts w:ascii="Arial" w:cs="Arial" w:eastAsia="Arial" w:hAnsi="Arial"/>
                <w:sz w:val="14"/>
                <w:szCs w:val="14"/>
                <w:b w:val="1"/>
                <w:bCs w:val="1"/>
                <w:color w:val="auto"/>
              </w:rPr>
              <w:t>Stock</w:t>
            </w:r>
          </w:p>
        </w:tc>
        <w:tc>
          <w:tcPr>
            <w:tcW w:w="160" w:type="dxa"/>
            <w:vAlign w:val="bottom"/>
          </w:tcPr>
          <w:p>
            <w:pPr>
              <w:spacing w:after="0"/>
              <w:rPr>
                <w:sz w:val="13"/>
                <w:szCs w:val="13"/>
                <w:color w:val="auto"/>
              </w:rPr>
            </w:pPr>
          </w:p>
        </w:tc>
        <w:tc>
          <w:tcPr>
            <w:tcW w:w="1140" w:type="dxa"/>
            <w:vAlign w:val="bottom"/>
          </w:tcPr>
          <w:p>
            <w:pPr>
              <w:jc w:val="right"/>
              <w:ind w:right="308"/>
              <w:spacing w:after="0" w:line="158" w:lineRule="exact"/>
              <w:rPr>
                <w:sz w:val="20"/>
                <w:szCs w:val="20"/>
                <w:color w:val="auto"/>
              </w:rPr>
            </w:pPr>
            <w:r>
              <w:rPr>
                <w:rFonts w:ascii="Arial" w:cs="Arial" w:eastAsia="Arial" w:hAnsi="Arial"/>
                <w:sz w:val="14"/>
                <w:szCs w:val="14"/>
                <w:b w:val="1"/>
                <w:bCs w:val="1"/>
                <w:color w:val="auto"/>
              </w:rPr>
              <w:t>Interests</w:t>
            </w:r>
          </w:p>
        </w:tc>
        <w:tc>
          <w:tcPr>
            <w:tcW w:w="8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760" w:type="dxa"/>
            <w:vAlign w:val="bottom"/>
            <w:tcBorders>
              <w:top w:val="single" w:sz="8" w:color="auto"/>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23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Balance at December 31, 2021</w:t>
            </w: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784</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22,983</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(745)</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14,846</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(6,140)</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720</w:t>
            </w:r>
          </w:p>
        </w:tc>
        <w:tc>
          <w:tcPr>
            <w:tcW w:w="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31,672</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320" w:type="dxa"/>
            <w:vAlign w:val="bottom"/>
            <w:gridSpan w:val="2"/>
          </w:tcPr>
          <w:p>
            <w:pPr>
              <w:spacing w:after="0"/>
              <w:rPr>
                <w:sz w:val="20"/>
                <w:szCs w:val="20"/>
                <w:color w:val="auto"/>
              </w:rPr>
            </w:pPr>
            <w:r>
              <w:rPr>
                <w:rFonts w:ascii="Arial" w:cs="Arial" w:eastAsia="Arial" w:hAnsi="Arial"/>
                <w:sz w:val="14"/>
                <w:szCs w:val="14"/>
                <w:color w:val="auto"/>
              </w:rPr>
              <w:t xml:space="preserve">Net income </w:t>
            </w:r>
            <w:r>
              <w:rPr>
                <w:rFonts w:ascii="Arial" w:cs="Arial" w:eastAsia="Arial" w:hAnsi="Arial"/>
                <w:sz w:val="9"/>
                <w:szCs w:val="9"/>
                <w:color w:val="auto"/>
              </w:rPr>
              <w:t>(1)</w:t>
            </w:r>
          </w:p>
        </w:tc>
        <w:tc>
          <w:tcPr>
            <w:tcW w:w="8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1,267</w:t>
            </w: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9</w:t>
            </w:r>
          </w:p>
        </w:tc>
        <w:tc>
          <w:tcPr>
            <w:tcW w:w="2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1,276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20" w:type="dxa"/>
            <w:vAlign w:val="bottom"/>
            <w:shd w:val="clear" w:color="auto" w:fill="CCEEFF"/>
          </w:tcPr>
          <w:p>
            <w:pPr>
              <w:spacing w:after="0"/>
              <w:rPr>
                <w:sz w:val="12"/>
                <w:szCs w:val="12"/>
                <w:color w:val="auto"/>
              </w:rPr>
            </w:pPr>
          </w:p>
        </w:tc>
        <w:tc>
          <w:tcPr>
            <w:tcW w:w="232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Distributions paid to noncontrolling</w:t>
            </w:r>
          </w:p>
        </w:tc>
        <w:tc>
          <w:tcPr>
            <w:tcW w:w="8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24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99"/>
        </w:trPr>
        <w:tc>
          <w:tcPr>
            <w:tcW w:w="20" w:type="dxa"/>
            <w:vAlign w:val="bottom"/>
            <w:shd w:val="clear" w:color="auto" w:fill="CCEEFF"/>
          </w:tcPr>
          <w:p>
            <w:pPr>
              <w:spacing w:after="0"/>
              <w:rPr>
                <w:sz w:val="17"/>
                <w:szCs w:val="17"/>
                <w:color w:val="auto"/>
              </w:rPr>
            </w:pPr>
          </w:p>
        </w:tc>
        <w:tc>
          <w:tcPr>
            <w:tcW w:w="2320" w:type="dxa"/>
            <w:vAlign w:val="bottom"/>
            <w:gridSpan w:val="2"/>
            <w:shd w:val="clear" w:color="auto" w:fill="CCEEFF"/>
          </w:tcPr>
          <w:p>
            <w:pPr>
              <w:ind w:left="160"/>
              <w:spacing w:after="0" w:line="200" w:lineRule="exact"/>
              <w:rPr>
                <w:sz w:val="20"/>
                <w:szCs w:val="20"/>
                <w:color w:val="auto"/>
              </w:rPr>
            </w:pPr>
            <w:r>
              <w:rPr>
                <w:rFonts w:ascii="Arial" w:cs="Arial" w:eastAsia="Arial" w:hAnsi="Arial"/>
                <w:sz w:val="14"/>
                <w:szCs w:val="14"/>
                <w:color w:val="auto"/>
              </w:rPr>
              <w:t xml:space="preserve">interests </w:t>
            </w:r>
            <w:r>
              <w:rPr>
                <w:rFonts w:ascii="Arial" w:cs="Arial" w:eastAsia="Arial" w:hAnsi="Arial"/>
                <w:sz w:val="18"/>
                <w:szCs w:val="18"/>
                <w:color w:val="auto"/>
                <w:vertAlign w:val="superscript"/>
              </w:rPr>
              <w:t>(2)</w:t>
            </w:r>
          </w:p>
        </w:tc>
        <w:tc>
          <w:tcPr>
            <w:tcW w:w="8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vMerge w:val="continue"/>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320" w:type="dxa"/>
            <w:vAlign w:val="bottom"/>
            <w:gridSpan w:val="2"/>
          </w:tcPr>
          <w:p>
            <w:pPr>
              <w:spacing w:after="0"/>
              <w:rPr>
                <w:sz w:val="20"/>
                <w:szCs w:val="20"/>
                <w:color w:val="auto"/>
              </w:rPr>
            </w:pPr>
            <w:r>
              <w:rPr>
                <w:rFonts w:ascii="Arial" w:cs="Arial" w:eastAsia="Arial" w:hAnsi="Arial"/>
                <w:sz w:val="14"/>
                <w:szCs w:val="14"/>
                <w:color w:val="auto"/>
              </w:rPr>
              <w:t>Other comprehensive loss</w:t>
            </w:r>
          </w:p>
        </w:tc>
        <w:tc>
          <w:tcPr>
            <w:tcW w:w="8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(260)</w:t>
            </w: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(41)</w:t>
            </w:r>
          </w:p>
        </w:tc>
        <w:tc>
          <w:tcPr>
            <w:tcW w:w="2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Borders>
              <w:bottom w:val="single" w:sz="8" w:color="CCEEFF"/>
            </w:tcBorders>
            <w:shd w:val="clear" w:color="auto" w:fill="CCEEFF"/>
          </w:tcPr>
          <w:p>
            <w:pPr>
              <w:spacing w:after="0"/>
              <w:rPr>
                <w:sz w:val="15"/>
                <w:szCs w:val="15"/>
                <w:color w:val="auto"/>
              </w:rPr>
            </w:pPr>
          </w:p>
        </w:tc>
        <w:tc>
          <w:tcPr>
            <w:tcW w:w="23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Share-based compensation</w:t>
            </w:r>
          </w:p>
        </w:tc>
        <w:tc>
          <w:tcPr>
            <w:tcW w:w="88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155</w:t>
            </w:r>
          </w:p>
        </w:tc>
        <w:tc>
          <w:tcPr>
            <w:tcW w:w="14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155</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320" w:type="dxa"/>
            <w:vAlign w:val="bottom"/>
            <w:gridSpan w:val="2"/>
          </w:tcPr>
          <w:p>
            <w:pPr>
              <w:spacing w:after="0"/>
              <w:rPr>
                <w:sz w:val="20"/>
                <w:szCs w:val="20"/>
                <w:color w:val="auto"/>
              </w:rPr>
            </w:pPr>
            <w:r>
              <w:rPr>
                <w:rFonts w:ascii="Arial" w:cs="Arial" w:eastAsia="Arial" w:hAnsi="Arial"/>
                <w:sz w:val="14"/>
                <w:szCs w:val="14"/>
                <w:color w:val="auto"/>
              </w:rPr>
              <w:t>Shares issued under stock plans</w:t>
            </w:r>
          </w:p>
        </w:tc>
        <w:tc>
          <w:tcPr>
            <w:tcW w:w="8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(128)</w:t>
            </w: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123</w:t>
            </w: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86"/>
        </w:trPr>
        <w:tc>
          <w:tcPr>
            <w:tcW w:w="20" w:type="dxa"/>
            <w:vAlign w:val="bottom"/>
            <w:tcBorders>
              <w:bottom w:val="single" w:sz="8" w:color="CCEEFF"/>
            </w:tcBorders>
            <w:shd w:val="clear" w:color="auto" w:fill="CCEEFF"/>
          </w:tcPr>
          <w:p>
            <w:pPr>
              <w:spacing w:after="0"/>
              <w:rPr>
                <w:sz w:val="16"/>
                <w:szCs w:val="16"/>
                <w:color w:val="auto"/>
              </w:rPr>
            </w:pPr>
          </w:p>
        </w:tc>
        <w:tc>
          <w:tcPr>
            <w:tcW w:w="23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Purchases of treasury stock</w:t>
            </w:r>
          </w:p>
        </w:tc>
        <w:tc>
          <w:tcPr>
            <w:tcW w:w="88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(1,000)</w:t>
            </w:r>
          </w:p>
        </w:tc>
        <w:tc>
          <w:tcPr>
            <w:tcW w:w="16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320" w:type="dxa"/>
            <w:vAlign w:val="bottom"/>
            <w:gridSpan w:val="2"/>
          </w:tcPr>
          <w:p>
            <w:pPr>
              <w:spacing w:after="0" w:line="143" w:lineRule="exact"/>
              <w:rPr>
                <w:sz w:val="20"/>
                <w:szCs w:val="20"/>
                <w:color w:val="auto"/>
              </w:rPr>
            </w:pPr>
            <w:r>
              <w:rPr>
                <w:rFonts w:ascii="Arial" w:cs="Arial" w:eastAsia="Arial" w:hAnsi="Arial"/>
                <w:sz w:val="14"/>
                <w:szCs w:val="14"/>
                <w:color w:val="auto"/>
              </w:rPr>
              <w:t>Capital contribution from</w:t>
            </w: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13</w:t>
            </w:r>
          </w:p>
        </w:tc>
        <w:tc>
          <w:tcPr>
            <w:tcW w:w="240" w:type="dxa"/>
            <w:vAlign w:val="bottom"/>
          </w:tcPr>
          <w:p>
            <w:pPr>
              <w:spacing w:after="0"/>
              <w:rPr>
                <w:sz w:val="12"/>
                <w:szCs w:val="12"/>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320" w:type="dxa"/>
            <w:vAlign w:val="bottom"/>
            <w:gridSpan w:val="2"/>
            <w:vMerge w:val="restart"/>
          </w:tcPr>
          <w:p>
            <w:pPr>
              <w:ind w:left="160"/>
              <w:spacing w:after="0"/>
              <w:rPr>
                <w:sz w:val="20"/>
                <w:szCs w:val="20"/>
                <w:color w:val="auto"/>
              </w:rPr>
            </w:pPr>
            <w:r>
              <w:rPr>
                <w:rFonts w:ascii="Arial" w:cs="Arial" w:eastAsia="Arial" w:hAnsi="Arial"/>
                <w:sz w:val="14"/>
                <w:szCs w:val="14"/>
                <w:color w:val="auto"/>
              </w:rPr>
              <w:t>noncontrolling interest</w:t>
            </w:r>
          </w:p>
        </w:tc>
        <w:tc>
          <w:tcPr>
            <w:tcW w:w="8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80" w:type="dxa"/>
            <w:vAlign w:val="bottom"/>
          </w:tcPr>
          <w:p>
            <w:pPr>
              <w:spacing w:after="0"/>
              <w:rPr>
                <w:sz w:val="8"/>
                <w:szCs w:val="8"/>
                <w:color w:val="auto"/>
              </w:rPr>
            </w:pPr>
          </w:p>
        </w:tc>
        <w:tc>
          <w:tcPr>
            <w:tcW w:w="9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4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20" w:type="dxa"/>
            <w:vAlign w:val="bottom"/>
            <w:tcBorders>
              <w:bottom w:val="single" w:sz="8" w:color="CCEEFF"/>
            </w:tcBorders>
          </w:tcPr>
          <w:p>
            <w:pPr>
              <w:spacing w:after="0"/>
              <w:rPr>
                <w:sz w:val="7"/>
                <w:szCs w:val="7"/>
                <w:color w:val="auto"/>
              </w:rPr>
            </w:pPr>
          </w:p>
        </w:tc>
        <w:tc>
          <w:tcPr>
            <w:tcW w:w="2320" w:type="dxa"/>
            <w:vAlign w:val="bottom"/>
            <w:tcBorders>
              <w:bottom w:val="single" w:sz="8" w:color="CCEEFF"/>
            </w:tcBorders>
            <w:gridSpan w:val="2"/>
            <w:vMerge w:val="continue"/>
          </w:tcPr>
          <w:p>
            <w:pPr>
              <w:spacing w:after="0"/>
              <w:rPr>
                <w:sz w:val="7"/>
                <w:szCs w:val="7"/>
                <w:color w:val="auto"/>
              </w:rPr>
            </w:pPr>
          </w:p>
        </w:tc>
        <w:tc>
          <w:tcPr>
            <w:tcW w:w="88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18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14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7"/>
                <w:szCs w:val="17"/>
                <w:color w:val="auto"/>
              </w:rPr>
            </w:pPr>
          </w:p>
        </w:tc>
        <w:tc>
          <w:tcPr>
            <w:tcW w:w="23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Balance at June 30, 2022</w:t>
            </w: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784</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141</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23,010</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(1,005)</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16,113</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(7,017)</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700</w:t>
            </w:r>
          </w:p>
        </w:tc>
        <w:tc>
          <w:tcPr>
            <w:tcW w:w="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31,809</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5" w:lineRule="exact"/>
        <w:rPr>
          <w:sz w:val="20"/>
          <w:szCs w:val="20"/>
          <w:color w:val="auto"/>
        </w:rPr>
      </w:pPr>
    </w:p>
    <w:p>
      <w:pPr>
        <w:ind w:left="660" w:hanging="328"/>
        <w:spacing w:after="0" w:line="230" w:lineRule="auto"/>
        <w:tabs>
          <w:tab w:leader="none" w:pos="660" w:val="left"/>
        </w:tabs>
        <w:numPr>
          <w:ilvl w:val="0"/>
          <w:numId w:val="7"/>
        </w:numPr>
        <w:rPr>
          <w:rFonts w:ascii="Arial" w:cs="Arial" w:eastAsia="Arial" w:hAnsi="Arial"/>
          <w:sz w:val="21"/>
          <w:szCs w:val="21"/>
          <w:color w:val="auto"/>
          <w:vertAlign w:val="superscript"/>
        </w:rPr>
      </w:pPr>
      <w:r>
        <w:rPr>
          <w:rFonts w:ascii="Arial" w:cs="Arial" w:eastAsia="Arial" w:hAnsi="Arial"/>
          <w:sz w:val="16"/>
          <w:szCs w:val="16"/>
          <w:color w:val="auto"/>
        </w:rPr>
        <w:t>The total net income presented in equity for the six months ended June 30, 2022 is different than the amount presented in the consolidated statement of income due to the net income attributable to redeemable noncontrolling interests of $15 million not included in equity.</w:t>
      </w:r>
    </w:p>
    <w:p>
      <w:pPr>
        <w:spacing w:after="0" w:line="37" w:lineRule="exact"/>
        <w:rPr>
          <w:rFonts w:ascii="Arial" w:cs="Arial" w:eastAsia="Arial" w:hAnsi="Arial"/>
          <w:sz w:val="21"/>
          <w:szCs w:val="21"/>
          <w:color w:val="auto"/>
          <w:vertAlign w:val="superscript"/>
        </w:rPr>
      </w:pPr>
    </w:p>
    <w:p>
      <w:pPr>
        <w:ind w:left="660" w:right="20" w:hanging="328"/>
        <w:spacing w:after="0" w:line="223" w:lineRule="auto"/>
        <w:tabs>
          <w:tab w:leader="none" w:pos="660" w:val="left"/>
        </w:tabs>
        <w:numPr>
          <w:ilvl w:val="0"/>
          <w:numId w:val="7"/>
        </w:numPr>
        <w:rPr>
          <w:rFonts w:ascii="Arial" w:cs="Arial" w:eastAsia="Arial" w:hAnsi="Arial"/>
          <w:sz w:val="21"/>
          <w:szCs w:val="21"/>
          <w:color w:val="auto"/>
          <w:vertAlign w:val="superscript"/>
        </w:rPr>
      </w:pPr>
      <w:r>
        <w:rPr>
          <w:rFonts w:ascii="Arial" w:cs="Arial" w:eastAsia="Arial" w:hAnsi="Arial"/>
          <w:sz w:val="16"/>
          <w:szCs w:val="16"/>
          <w:color w:val="auto"/>
        </w:rPr>
        <w:t>The total distributions presented in equity for the six months ended June 30, 2022 excludes $21 million in distributions paid to redeemable noncontrolling interests not included in equity.</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207"/>
        </w:trPr>
        <w:tc>
          <w:tcPr>
            <w:tcW w:w="4380" w:type="dxa"/>
            <w:vAlign w:val="bottom"/>
            <w:gridSpan w:val="4"/>
          </w:tcPr>
          <w:p>
            <w:pPr>
              <w:spacing w:after="0"/>
              <w:rPr>
                <w:sz w:val="20"/>
                <w:szCs w:val="20"/>
                <w:color w:val="auto"/>
              </w:rPr>
            </w:pPr>
            <w:r>
              <w:rPr>
                <w:rFonts w:ascii="Arial" w:cs="Arial" w:eastAsia="Arial" w:hAnsi="Arial"/>
                <w:sz w:val="18"/>
                <w:szCs w:val="18"/>
                <w:color w:val="0000FF"/>
              </w:rPr>
              <w:t>Table of Contents</w:t>
            </w:r>
          </w:p>
        </w:tc>
        <w:tc>
          <w:tcPr>
            <w:tcW w:w="2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2"/>
        </w:trPr>
        <w:tc>
          <w:tcPr>
            <w:tcW w:w="4380" w:type="dxa"/>
            <w:vAlign w:val="bottom"/>
            <w:gridSpan w:val="4"/>
          </w:tcPr>
          <w:p>
            <w:pPr>
              <w:spacing w:after="0"/>
              <w:rPr>
                <w:sz w:val="20"/>
                <w:szCs w:val="20"/>
                <w:color w:val="auto"/>
              </w:rPr>
            </w:pPr>
            <w:r>
              <w:rPr>
                <w:rFonts w:ascii="Arial" w:cs="Arial" w:eastAsia="Arial" w:hAnsi="Arial"/>
                <w:sz w:val="18"/>
                <w:szCs w:val="18"/>
                <w:b w:val="1"/>
                <w:bCs w:val="1"/>
                <w:color w:val="auto"/>
              </w:rPr>
              <w:t>12. Accumulated Other Comprehensive Loss</w:t>
            </w:r>
          </w:p>
        </w:tc>
        <w:tc>
          <w:tcPr>
            <w:tcW w:w="2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9520" w:type="dxa"/>
            <w:vAlign w:val="bottom"/>
            <w:gridSpan w:val="12"/>
          </w:tcPr>
          <w:p>
            <w:pPr>
              <w:spacing w:after="0"/>
              <w:rPr>
                <w:sz w:val="20"/>
                <w:szCs w:val="20"/>
                <w:color w:val="auto"/>
              </w:rPr>
            </w:pPr>
            <w:r>
              <w:rPr>
                <w:rFonts w:ascii="Arial" w:cs="Arial" w:eastAsia="Arial" w:hAnsi="Arial"/>
                <w:sz w:val="18"/>
                <w:szCs w:val="18"/>
                <w:color w:val="auto"/>
              </w:rPr>
              <w:t>Changes in accumulated other comprehensive loss by component, net of income taxes, consisted of the following:</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tcPr>
          <w:p>
            <w:pPr>
              <w:jc w:val="center"/>
              <w:ind w:right="150"/>
              <w:spacing w:after="0"/>
              <w:rPr>
                <w:sz w:val="20"/>
                <w:szCs w:val="20"/>
                <w:color w:val="auto"/>
              </w:rPr>
            </w:pPr>
            <w:r>
              <w:rPr>
                <w:rFonts w:ascii="Arial" w:cs="Arial" w:eastAsia="Arial" w:hAnsi="Arial"/>
                <w:sz w:val="18"/>
                <w:szCs w:val="18"/>
                <w:b w:val="1"/>
                <w:bCs w:val="1"/>
                <w:color w:val="auto"/>
                <w:w w:val="90"/>
              </w:rPr>
              <w:t>Foreign</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0" w:type="dxa"/>
            <w:vAlign w:val="bottom"/>
          </w:tcPr>
          <w:p>
            <w:pPr>
              <w:jc w:val="center"/>
              <w:ind w:right="130"/>
              <w:spacing w:after="0" w:line="184" w:lineRule="exact"/>
              <w:rPr>
                <w:sz w:val="20"/>
                <w:szCs w:val="20"/>
                <w:color w:val="auto"/>
              </w:rPr>
            </w:pPr>
            <w:r>
              <w:rPr>
                <w:rFonts w:ascii="Arial" w:cs="Arial" w:eastAsia="Arial" w:hAnsi="Arial"/>
                <w:sz w:val="18"/>
                <w:szCs w:val="18"/>
                <w:b w:val="1"/>
                <w:bCs w:val="1"/>
                <w:color w:val="auto"/>
                <w:w w:val="93"/>
              </w:rPr>
              <w:t>Currency</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360" w:type="dxa"/>
            <w:vAlign w:val="bottom"/>
            <w:gridSpan w:val="3"/>
          </w:tcPr>
          <w:p>
            <w:pPr>
              <w:spacing w:after="0"/>
              <w:rPr>
                <w:sz w:val="20"/>
                <w:szCs w:val="20"/>
                <w:color w:val="auto"/>
              </w:rPr>
            </w:pPr>
            <w:r>
              <w:rPr>
                <w:rFonts w:ascii="Arial" w:cs="Arial" w:eastAsia="Arial" w:hAnsi="Arial"/>
                <w:sz w:val="16"/>
                <w:szCs w:val="16"/>
                <w:b w:val="1"/>
                <w:bCs w:val="1"/>
                <w:color w:val="auto"/>
              </w:rPr>
              <w:t>(In millions)</w:t>
            </w:r>
          </w:p>
        </w:tc>
        <w:tc>
          <w:tcPr>
            <w:tcW w:w="260" w:type="dxa"/>
            <w:vAlign w:val="bottom"/>
          </w:tcPr>
          <w:p>
            <w:pPr>
              <w:spacing w:after="0"/>
              <w:rPr>
                <w:sz w:val="16"/>
                <w:szCs w:val="16"/>
                <w:color w:val="auto"/>
              </w:rPr>
            </w:pPr>
          </w:p>
        </w:tc>
        <w:tc>
          <w:tcPr>
            <w:tcW w:w="1400" w:type="dxa"/>
            <w:vAlign w:val="bottom"/>
          </w:tcPr>
          <w:p>
            <w:pPr>
              <w:jc w:val="right"/>
              <w:ind w:right="290"/>
              <w:spacing w:after="0" w:line="194" w:lineRule="exact"/>
              <w:rPr>
                <w:sz w:val="20"/>
                <w:szCs w:val="20"/>
                <w:color w:val="auto"/>
              </w:rPr>
            </w:pPr>
            <w:r>
              <w:rPr>
                <w:rFonts w:ascii="Arial" w:cs="Arial" w:eastAsia="Arial" w:hAnsi="Arial"/>
                <w:sz w:val="18"/>
                <w:szCs w:val="18"/>
                <w:b w:val="1"/>
                <w:bCs w:val="1"/>
                <w:color w:val="auto"/>
              </w:rPr>
              <w:t>Derivatives</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0" w:type="dxa"/>
            <w:vAlign w:val="bottom"/>
          </w:tcPr>
          <w:p>
            <w:pPr>
              <w:jc w:val="center"/>
              <w:ind w:right="150"/>
              <w:spacing w:after="0" w:line="194" w:lineRule="exact"/>
              <w:rPr>
                <w:sz w:val="20"/>
                <w:szCs w:val="20"/>
                <w:color w:val="auto"/>
              </w:rPr>
            </w:pPr>
            <w:r>
              <w:rPr>
                <w:rFonts w:ascii="Arial" w:cs="Arial" w:eastAsia="Arial" w:hAnsi="Arial"/>
                <w:sz w:val="18"/>
                <w:szCs w:val="18"/>
                <w:b w:val="1"/>
                <w:bCs w:val="1"/>
                <w:color w:val="auto"/>
                <w:w w:val="90"/>
              </w:rPr>
              <w:t>Translation</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tcPr>
          <w:p>
            <w:pPr>
              <w:jc w:val="right"/>
              <w:ind w:right="190"/>
              <w:spacing w:after="0" w:line="194" w:lineRule="exact"/>
              <w:rPr>
                <w:sz w:val="20"/>
                <w:szCs w:val="20"/>
                <w:color w:val="auto"/>
              </w:rPr>
            </w:pPr>
            <w:r>
              <w:rPr>
                <w:rFonts w:ascii="Arial" w:cs="Arial" w:eastAsia="Arial" w:hAnsi="Arial"/>
                <w:sz w:val="18"/>
                <w:szCs w:val="18"/>
                <w:b w:val="1"/>
                <w:bCs w:val="1"/>
                <w:color w:val="auto"/>
                <w:w w:val="92"/>
              </w:rPr>
              <w:t>Pension Plans</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60" w:type="dxa"/>
            <w:vAlign w:val="bottom"/>
          </w:tcPr>
          <w:p>
            <w:pPr>
              <w:jc w:val="right"/>
              <w:ind w:right="530"/>
              <w:spacing w:after="0" w:line="194" w:lineRule="exact"/>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3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36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Three Months Ended June 30, 2023</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60" w:type="dxa"/>
            <w:vAlign w:val="bottom"/>
            <w:gridSpan w:val="3"/>
          </w:tcPr>
          <w:p>
            <w:pPr>
              <w:spacing w:after="0"/>
              <w:rPr>
                <w:sz w:val="20"/>
                <w:szCs w:val="20"/>
                <w:color w:val="auto"/>
              </w:rPr>
            </w:pPr>
            <w:r>
              <w:rPr>
                <w:rFonts w:ascii="Arial" w:cs="Arial" w:eastAsia="Arial" w:hAnsi="Arial"/>
                <w:sz w:val="18"/>
                <w:szCs w:val="18"/>
                <w:color w:val="auto"/>
              </w:rPr>
              <w:t>Balance at March 31, 2023</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(95)</w:t>
            </w:r>
          </w:p>
        </w:tc>
        <w:tc>
          <w:tcPr>
            <w:tcW w:w="3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(939)</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(20)</w:t>
            </w:r>
          </w:p>
        </w:tc>
        <w:tc>
          <w:tcPr>
            <w:tcW w:w="46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(1,054)</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3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comprehensive income before reclassifications</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360" w:type="dxa"/>
            <w:vAlign w:val="bottom"/>
            <w:gridSpan w:val="3"/>
          </w:tcPr>
          <w:p>
            <w:pPr>
              <w:spacing w:after="0" w:line="189" w:lineRule="exact"/>
              <w:rPr>
                <w:sz w:val="20"/>
                <w:szCs w:val="20"/>
                <w:color w:val="auto"/>
              </w:rPr>
            </w:pPr>
            <w:r>
              <w:rPr>
                <w:rFonts w:ascii="Arial" w:cs="Arial" w:eastAsia="Arial" w:hAnsi="Arial"/>
                <w:sz w:val="18"/>
                <w:szCs w:val="18"/>
                <w:color w:val="auto"/>
              </w:rPr>
              <w:t>Amounts reclassified from accumulated other</w:t>
            </w:r>
          </w:p>
        </w:tc>
        <w:tc>
          <w:tcPr>
            <w:tcW w:w="260" w:type="dxa"/>
            <w:vAlign w:val="bottom"/>
          </w:tcPr>
          <w:p>
            <w:pPr>
              <w:spacing w:after="0"/>
              <w:rPr>
                <w:sz w:val="16"/>
                <w:szCs w:val="16"/>
                <w:color w:val="auto"/>
              </w:rPr>
            </w:pPr>
          </w:p>
        </w:tc>
        <w:tc>
          <w:tcPr>
            <w:tcW w:w="1400" w:type="dxa"/>
            <w:vAlign w:val="bottom"/>
            <w:vMerge w:val="restart"/>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4360" w:type="dxa"/>
            <w:vAlign w:val="bottom"/>
            <w:gridSpan w:val="3"/>
            <w:vMerge w:val="restart"/>
          </w:tcPr>
          <w:p>
            <w:pPr>
              <w:ind w:left="160"/>
              <w:spacing w:after="0"/>
              <w:rPr>
                <w:sz w:val="20"/>
                <w:szCs w:val="20"/>
                <w:color w:val="auto"/>
              </w:rPr>
            </w:pPr>
            <w:r>
              <w:rPr>
                <w:rFonts w:ascii="Arial" w:cs="Arial" w:eastAsia="Arial" w:hAnsi="Arial"/>
                <w:sz w:val="18"/>
                <w:szCs w:val="18"/>
                <w:color w:val="auto"/>
              </w:rPr>
              <w:t>comprehensive loss</w:t>
            </w:r>
          </w:p>
        </w:tc>
        <w:tc>
          <w:tcPr>
            <w:tcW w:w="260" w:type="dxa"/>
            <w:vAlign w:val="bottom"/>
          </w:tcPr>
          <w:p>
            <w:pPr>
              <w:spacing w:after="0"/>
              <w:rPr>
                <w:sz w:val="11"/>
                <w:szCs w:val="11"/>
                <w:color w:val="auto"/>
              </w:rPr>
            </w:pPr>
          </w:p>
        </w:tc>
        <w:tc>
          <w:tcPr>
            <w:tcW w:w="14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Borders>
              <w:bottom w:val="single" w:sz="8" w:color="CCEEFF"/>
            </w:tcBorders>
          </w:tcPr>
          <w:p>
            <w:pPr>
              <w:spacing w:after="0"/>
              <w:rPr>
                <w:sz w:val="8"/>
                <w:szCs w:val="8"/>
                <w:color w:val="auto"/>
              </w:rPr>
            </w:pPr>
          </w:p>
        </w:tc>
        <w:tc>
          <w:tcPr>
            <w:tcW w:w="4360" w:type="dxa"/>
            <w:vAlign w:val="bottom"/>
            <w:tcBorders>
              <w:bottom w:val="single" w:sz="8" w:color="CCEEFF"/>
            </w:tcBorders>
            <w:gridSpan w:val="3"/>
            <w:vMerge w:val="continue"/>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400" w:type="dxa"/>
            <w:vAlign w:val="bottom"/>
            <w:tcBorders>
              <w:bottom w:val="single" w:sz="8" w:color="auto"/>
            </w:tcBorders>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400" w:type="dxa"/>
            <w:vAlign w:val="bottom"/>
            <w:tcBorders>
              <w:bottom w:val="single" w:sz="8" w:color="auto"/>
            </w:tcBorders>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440" w:type="dxa"/>
            <w:vAlign w:val="bottom"/>
            <w:tcBorders>
              <w:bottom w:val="single" w:sz="8" w:color="auto"/>
            </w:tcBorders>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12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3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current-period other comprehensive income</w:t>
            </w:r>
          </w:p>
        </w:tc>
        <w:tc>
          <w:tcPr>
            <w:tcW w:w="2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60" w:type="dxa"/>
            <w:vAlign w:val="bottom"/>
            <w:gridSpan w:val="3"/>
          </w:tcPr>
          <w:p>
            <w:pPr>
              <w:spacing w:after="0"/>
              <w:rPr>
                <w:sz w:val="20"/>
                <w:szCs w:val="20"/>
                <w:color w:val="auto"/>
              </w:rPr>
            </w:pPr>
            <w:r>
              <w:rPr>
                <w:rFonts w:ascii="Arial" w:cs="Arial" w:eastAsia="Arial" w:hAnsi="Arial"/>
                <w:sz w:val="18"/>
                <w:szCs w:val="18"/>
                <w:color w:val="auto"/>
              </w:rPr>
              <w:t>Balance at June 30, 2023</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(789)</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(900)</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3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3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360" w:type="dxa"/>
            <w:vAlign w:val="bottom"/>
            <w:gridSpan w:val="3"/>
          </w:tcPr>
          <w:p>
            <w:pPr>
              <w:spacing w:after="0"/>
              <w:rPr>
                <w:sz w:val="20"/>
                <w:szCs w:val="20"/>
                <w:color w:val="auto"/>
              </w:rPr>
            </w:pPr>
            <w:r>
              <w:rPr>
                <w:rFonts w:ascii="Arial" w:cs="Arial" w:eastAsia="Arial" w:hAnsi="Arial"/>
                <w:sz w:val="18"/>
                <w:szCs w:val="18"/>
                <w:b w:val="1"/>
                <w:bCs w:val="1"/>
                <w:color w:val="auto"/>
              </w:rPr>
              <w:t>Three Months Ended June 30, 2022</w:t>
            </w:r>
          </w:p>
        </w:tc>
        <w:tc>
          <w:tcPr>
            <w:tcW w:w="2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43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Balance at March 31, 2022</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3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46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360" w:type="dxa"/>
            <w:vAlign w:val="bottom"/>
            <w:gridSpan w:val="3"/>
          </w:tcPr>
          <w:p>
            <w:pPr>
              <w:spacing w:after="0"/>
              <w:rPr>
                <w:sz w:val="20"/>
                <w:szCs w:val="20"/>
                <w:color w:val="auto"/>
              </w:rPr>
            </w:pPr>
            <w:r>
              <w:rPr>
                <w:rFonts w:ascii="Arial" w:cs="Arial" w:eastAsia="Arial" w:hAnsi="Arial"/>
                <w:sz w:val="18"/>
                <w:szCs w:val="18"/>
                <w:color w:val="auto"/>
              </w:rPr>
              <w:t>Other comprehensive loss before reclassifications</w:t>
            </w:r>
          </w:p>
        </w:tc>
        <w:tc>
          <w:tcPr>
            <w:tcW w:w="2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(361)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(369)</w:t>
            </w:r>
          </w:p>
        </w:tc>
        <w:tc>
          <w:tcPr>
            <w:tcW w:w="0" w:type="dxa"/>
            <w:vAlign w:val="bottom"/>
          </w:tcPr>
          <w:p>
            <w:pPr>
              <w:spacing w:after="0"/>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436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rPr>
              <w:t>Amounts reclassified from accumulated other</w:t>
            </w:r>
          </w:p>
        </w:tc>
        <w:tc>
          <w:tcPr>
            <w:tcW w:w="260" w:type="dxa"/>
            <w:vAlign w:val="bottom"/>
            <w:shd w:val="clear" w:color="auto" w:fill="CCEEFF"/>
          </w:tcPr>
          <w:p>
            <w:pPr>
              <w:spacing w:after="0"/>
              <w:rPr>
                <w:sz w:val="15"/>
                <w:szCs w:val="15"/>
                <w:color w:val="auto"/>
              </w:rPr>
            </w:pP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35"/>
        </w:trPr>
        <w:tc>
          <w:tcPr>
            <w:tcW w:w="20" w:type="dxa"/>
            <w:vAlign w:val="bottom"/>
            <w:shd w:val="clear" w:color="auto" w:fill="CCEEFF"/>
          </w:tcPr>
          <w:p>
            <w:pPr>
              <w:spacing w:after="0"/>
              <w:rPr>
                <w:sz w:val="11"/>
                <w:szCs w:val="11"/>
                <w:color w:val="auto"/>
              </w:rPr>
            </w:pPr>
          </w:p>
        </w:tc>
        <w:tc>
          <w:tcPr>
            <w:tcW w:w="4360" w:type="dxa"/>
            <w:vAlign w:val="bottom"/>
            <w:gridSpan w:val="3"/>
            <w:vMerge w:val="restart"/>
            <w:shd w:val="clear" w:color="auto" w:fill="CCEEFF"/>
          </w:tcPr>
          <w:p>
            <w:pPr>
              <w:ind w:left="160"/>
              <w:spacing w:after="0"/>
              <w:rPr>
                <w:sz w:val="20"/>
                <w:szCs w:val="20"/>
                <w:color w:val="auto"/>
              </w:rPr>
            </w:pPr>
            <w:r>
              <w:rPr>
                <w:rFonts w:ascii="Arial" w:cs="Arial" w:eastAsia="Arial" w:hAnsi="Arial"/>
                <w:sz w:val="18"/>
                <w:szCs w:val="18"/>
                <w:color w:val="auto"/>
              </w:rPr>
              <w:t>comprehensive loss</w:t>
            </w:r>
          </w:p>
        </w:tc>
        <w:tc>
          <w:tcPr>
            <w:tcW w:w="260" w:type="dxa"/>
            <w:vAlign w:val="bottom"/>
            <w:shd w:val="clear" w:color="auto" w:fill="CCEEFF"/>
          </w:tcPr>
          <w:p>
            <w:pPr>
              <w:spacing w:after="0"/>
              <w:rPr>
                <w:sz w:val="11"/>
                <w:szCs w:val="11"/>
                <w:color w:val="auto"/>
              </w:rPr>
            </w:pPr>
          </w:p>
        </w:tc>
        <w:tc>
          <w:tcPr>
            <w:tcW w:w="140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0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4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6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Borders>
              <w:bottom w:val="single" w:sz="8" w:color="CCEEFF"/>
            </w:tcBorders>
            <w:shd w:val="clear" w:color="auto" w:fill="CCEEFF"/>
          </w:tcPr>
          <w:p>
            <w:pPr>
              <w:spacing w:after="0"/>
              <w:rPr>
                <w:sz w:val="8"/>
                <w:szCs w:val="8"/>
                <w:color w:val="auto"/>
              </w:rPr>
            </w:pPr>
          </w:p>
        </w:tc>
        <w:tc>
          <w:tcPr>
            <w:tcW w:w="4360" w:type="dxa"/>
            <w:vAlign w:val="bottom"/>
            <w:tcBorders>
              <w:bottom w:val="single" w:sz="8" w:color="CCEEFF"/>
            </w:tcBorders>
            <w:gridSpan w:val="3"/>
            <w:vMerge w:val="continue"/>
            <w:shd w:val="clear" w:color="auto" w:fill="CCEEFF"/>
          </w:tcPr>
          <w:p>
            <w:pPr>
              <w:spacing w:after="0"/>
              <w:rPr>
                <w:sz w:val="8"/>
                <w:szCs w:val="8"/>
                <w:color w:val="auto"/>
              </w:rPr>
            </w:pPr>
          </w:p>
        </w:tc>
        <w:tc>
          <w:tcPr>
            <w:tcW w:w="260" w:type="dxa"/>
            <w:vAlign w:val="bottom"/>
            <w:tcBorders>
              <w:bottom w:val="single" w:sz="8" w:color="auto"/>
            </w:tcBorders>
            <w:shd w:val="clear" w:color="auto" w:fill="CCEEFF"/>
          </w:tcPr>
          <w:p>
            <w:pPr>
              <w:spacing w:after="0"/>
              <w:rPr>
                <w:sz w:val="8"/>
                <w:szCs w:val="8"/>
                <w:color w:val="auto"/>
              </w:rPr>
            </w:pPr>
          </w:p>
        </w:tc>
        <w:tc>
          <w:tcPr>
            <w:tcW w:w="1400" w:type="dxa"/>
            <w:vAlign w:val="bottom"/>
            <w:tcBorders>
              <w:bottom w:val="single" w:sz="8" w:color="auto"/>
            </w:tcBorders>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240" w:type="dxa"/>
            <w:vAlign w:val="bottom"/>
            <w:tcBorders>
              <w:bottom w:val="single" w:sz="8" w:color="auto"/>
            </w:tcBorders>
            <w:shd w:val="clear" w:color="auto" w:fill="CCEEFF"/>
          </w:tcPr>
          <w:p>
            <w:pPr>
              <w:spacing w:after="0"/>
              <w:rPr>
                <w:sz w:val="8"/>
                <w:szCs w:val="8"/>
                <w:color w:val="auto"/>
              </w:rPr>
            </w:pPr>
          </w:p>
        </w:tc>
        <w:tc>
          <w:tcPr>
            <w:tcW w:w="1400" w:type="dxa"/>
            <w:vAlign w:val="bottom"/>
            <w:tcBorders>
              <w:bottom w:val="single" w:sz="8" w:color="auto"/>
            </w:tcBorders>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200" w:type="dxa"/>
            <w:vAlign w:val="bottom"/>
            <w:tcBorders>
              <w:bottom w:val="single" w:sz="8" w:color="auto"/>
            </w:tcBorders>
            <w:shd w:val="clear" w:color="auto" w:fill="CCEEFF"/>
          </w:tcPr>
          <w:p>
            <w:pPr>
              <w:spacing w:after="0"/>
              <w:rPr>
                <w:sz w:val="8"/>
                <w:szCs w:val="8"/>
                <w:color w:val="auto"/>
              </w:rPr>
            </w:pPr>
          </w:p>
        </w:tc>
        <w:tc>
          <w:tcPr>
            <w:tcW w:w="1440" w:type="dxa"/>
            <w:vAlign w:val="bottom"/>
            <w:tcBorders>
              <w:bottom w:val="single" w:sz="8" w:color="auto"/>
            </w:tcBorders>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360" w:type="dxa"/>
            <w:vAlign w:val="bottom"/>
            <w:tcBorders>
              <w:bottom w:val="single" w:sz="8" w:color="auto"/>
            </w:tcBorders>
            <w:shd w:val="clear" w:color="auto" w:fill="CCEEFF"/>
          </w:tcPr>
          <w:p>
            <w:pPr>
              <w:spacing w:after="0"/>
              <w:rPr>
                <w:sz w:val="8"/>
                <w:szCs w:val="8"/>
                <w:color w:val="auto"/>
              </w:rPr>
            </w:pPr>
          </w:p>
        </w:tc>
        <w:tc>
          <w:tcPr>
            <w:tcW w:w="1260" w:type="dxa"/>
            <w:vAlign w:val="bottom"/>
            <w:tcBorders>
              <w:bottom w:val="single" w:sz="8" w:color="auto"/>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436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Net current-period other comprehensive loss</w:t>
            </w:r>
          </w:p>
        </w:tc>
        <w:tc>
          <w:tcPr>
            <w:tcW w:w="2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Balance at June 30, 2022</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(1,005)</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3500" w:type="dxa"/>
            <w:vAlign w:val="bottom"/>
            <w:tcBorders>
              <w:top w:val="single" w:sz="8" w:color="CCEEFF"/>
            </w:tcBorders>
            <w:gridSpan w:val="2"/>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36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Six Months Ended June 30, 2023</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360" w:type="dxa"/>
            <w:vAlign w:val="bottom"/>
            <w:gridSpan w:val="3"/>
          </w:tcPr>
          <w:p>
            <w:pPr>
              <w:spacing w:after="0"/>
              <w:rPr>
                <w:sz w:val="20"/>
                <w:szCs w:val="20"/>
                <w:color w:val="auto"/>
              </w:rPr>
            </w:pPr>
            <w:r>
              <w:rPr>
                <w:rFonts w:ascii="Arial" w:cs="Arial" w:eastAsia="Arial" w:hAnsi="Arial"/>
                <w:sz w:val="18"/>
                <w:szCs w:val="18"/>
                <w:color w:val="auto"/>
              </w:rPr>
              <w:t>Balance at December 31, 2022</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(103)</w:t>
            </w:r>
          </w:p>
        </w:tc>
        <w:tc>
          <w:tcPr>
            <w:tcW w:w="3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(1,064)</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(22)</w:t>
            </w:r>
          </w:p>
        </w:tc>
        <w:tc>
          <w:tcPr>
            <w:tcW w:w="46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(1,189)</w:t>
            </w:r>
          </w:p>
        </w:tc>
        <w:tc>
          <w:tcPr>
            <w:tcW w:w="0" w:type="dxa"/>
            <w:vAlign w:val="bottom"/>
          </w:tcPr>
          <w:p>
            <w:pPr>
              <w:spacing w:after="0"/>
              <w:rPr>
                <w:sz w:val="1"/>
                <w:szCs w:val="1"/>
                <w:color w:val="auto"/>
              </w:rPr>
            </w:pPr>
          </w:p>
        </w:tc>
      </w:tr>
      <w:tr>
        <w:trPr>
          <w:trHeight w:val="236"/>
        </w:trPr>
        <w:tc>
          <w:tcPr>
            <w:tcW w:w="20" w:type="dxa"/>
            <w:vAlign w:val="bottom"/>
            <w:shd w:val="clear" w:color="auto" w:fill="CCEEFF"/>
          </w:tcPr>
          <w:p>
            <w:pPr>
              <w:spacing w:after="0"/>
              <w:rPr>
                <w:sz w:val="20"/>
                <w:szCs w:val="20"/>
                <w:color w:val="auto"/>
              </w:rPr>
            </w:pPr>
          </w:p>
        </w:tc>
        <w:tc>
          <w:tcPr>
            <w:tcW w:w="43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comprehensive income before reclassifications</w:t>
            </w:r>
          </w:p>
        </w:tc>
        <w:tc>
          <w:tcPr>
            <w:tcW w:w="26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360" w:type="dxa"/>
            <w:vAlign w:val="bottom"/>
            <w:gridSpan w:val="3"/>
          </w:tcPr>
          <w:p>
            <w:pPr>
              <w:spacing w:after="0" w:line="176" w:lineRule="exact"/>
              <w:rPr>
                <w:sz w:val="20"/>
                <w:szCs w:val="20"/>
                <w:color w:val="auto"/>
              </w:rPr>
            </w:pPr>
            <w:r>
              <w:rPr>
                <w:rFonts w:ascii="Arial" w:cs="Arial" w:eastAsia="Arial" w:hAnsi="Arial"/>
                <w:sz w:val="18"/>
                <w:szCs w:val="18"/>
                <w:color w:val="auto"/>
              </w:rPr>
              <w:t>Amounts reclassified from accumulated other</w:t>
            </w:r>
          </w:p>
        </w:tc>
        <w:tc>
          <w:tcPr>
            <w:tcW w:w="260" w:type="dxa"/>
            <w:vAlign w:val="bottom"/>
          </w:tcPr>
          <w:p>
            <w:pPr>
              <w:spacing w:after="0"/>
              <w:rPr>
                <w:sz w:val="15"/>
                <w:szCs w:val="15"/>
                <w:color w:val="auto"/>
              </w:rPr>
            </w:pPr>
          </w:p>
        </w:tc>
        <w:tc>
          <w:tcPr>
            <w:tcW w:w="140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360" w:type="dxa"/>
            <w:vAlign w:val="bottom"/>
            <w:gridSpan w:val="3"/>
            <w:vMerge w:val="restart"/>
          </w:tcPr>
          <w:p>
            <w:pPr>
              <w:ind w:left="160"/>
              <w:spacing w:after="0"/>
              <w:rPr>
                <w:sz w:val="20"/>
                <w:szCs w:val="20"/>
                <w:color w:val="auto"/>
              </w:rPr>
            </w:pPr>
            <w:r>
              <w:rPr>
                <w:rFonts w:ascii="Arial" w:cs="Arial" w:eastAsia="Arial" w:hAnsi="Arial"/>
                <w:sz w:val="18"/>
                <w:szCs w:val="18"/>
                <w:color w:val="auto"/>
              </w:rPr>
              <w:t>comprehensive loss</w:t>
            </w:r>
          </w:p>
        </w:tc>
        <w:tc>
          <w:tcPr>
            <w:tcW w:w="260" w:type="dxa"/>
            <w:vAlign w:val="bottom"/>
          </w:tcPr>
          <w:p>
            <w:pPr>
              <w:spacing w:after="0"/>
              <w:rPr>
                <w:sz w:val="11"/>
                <w:szCs w:val="11"/>
                <w:color w:val="auto"/>
              </w:rPr>
            </w:pPr>
          </w:p>
        </w:tc>
        <w:tc>
          <w:tcPr>
            <w:tcW w:w="14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4360" w:type="dxa"/>
            <w:vAlign w:val="bottom"/>
            <w:gridSpan w:val="3"/>
            <w:vMerge w:val="continue"/>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4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4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4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12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shd w:val="clear" w:color="auto" w:fill="CCEEFF"/>
          </w:tcPr>
          <w:p>
            <w:pPr>
              <w:spacing w:after="0"/>
              <w:rPr>
                <w:sz w:val="19"/>
                <w:szCs w:val="19"/>
                <w:color w:val="auto"/>
              </w:rPr>
            </w:pPr>
          </w:p>
        </w:tc>
        <w:tc>
          <w:tcPr>
            <w:tcW w:w="4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Net current-period other comprehensive income</w:t>
            </w:r>
          </w:p>
        </w:tc>
        <w:tc>
          <w:tcPr>
            <w:tcW w:w="2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360" w:type="dxa"/>
            <w:vAlign w:val="bottom"/>
            <w:gridSpan w:val="3"/>
          </w:tcPr>
          <w:p>
            <w:pPr>
              <w:spacing w:after="0"/>
              <w:rPr>
                <w:sz w:val="20"/>
                <w:szCs w:val="20"/>
                <w:color w:val="auto"/>
              </w:rPr>
            </w:pPr>
            <w:r>
              <w:rPr>
                <w:rFonts w:ascii="Arial" w:cs="Arial" w:eastAsia="Arial" w:hAnsi="Arial"/>
                <w:sz w:val="18"/>
                <w:szCs w:val="18"/>
                <w:color w:val="auto"/>
              </w:rPr>
              <w:t>Balance at June 30, 2023</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(91)</w:t>
            </w:r>
          </w:p>
        </w:tc>
        <w:tc>
          <w:tcPr>
            <w:tcW w:w="3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(789)</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(20)</w:t>
            </w:r>
          </w:p>
        </w:tc>
        <w:tc>
          <w:tcPr>
            <w:tcW w:w="46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(900)</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310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4360" w:type="dxa"/>
            <w:vAlign w:val="bottom"/>
            <w:gridSpan w:val="3"/>
          </w:tcPr>
          <w:p>
            <w:pPr>
              <w:spacing w:after="0"/>
              <w:rPr>
                <w:sz w:val="20"/>
                <w:szCs w:val="20"/>
                <w:color w:val="auto"/>
              </w:rPr>
            </w:pPr>
            <w:r>
              <w:rPr>
                <w:rFonts w:ascii="Arial" w:cs="Arial" w:eastAsia="Arial" w:hAnsi="Arial"/>
                <w:sz w:val="18"/>
                <w:szCs w:val="18"/>
                <w:b w:val="1"/>
                <w:bCs w:val="1"/>
                <w:color w:val="auto"/>
              </w:rPr>
              <w:t>Six Months Ended June 30, 2022</w:t>
            </w:r>
          </w:p>
        </w:tc>
        <w:tc>
          <w:tcPr>
            <w:tcW w:w="2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0" w:type="dxa"/>
            <w:vAlign w:val="bottom"/>
            <w:shd w:val="clear" w:color="auto" w:fill="CCEEFF"/>
          </w:tcPr>
          <w:p>
            <w:pPr>
              <w:spacing w:after="0"/>
              <w:rPr>
                <w:sz w:val="20"/>
                <w:szCs w:val="20"/>
                <w:color w:val="auto"/>
              </w:rPr>
            </w:pPr>
          </w:p>
        </w:tc>
        <w:tc>
          <w:tcPr>
            <w:tcW w:w="43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Balance at December 31, 2021</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3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46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60" w:type="dxa"/>
            <w:vAlign w:val="bottom"/>
            <w:gridSpan w:val="3"/>
          </w:tcPr>
          <w:p>
            <w:pPr>
              <w:spacing w:after="0"/>
              <w:rPr>
                <w:sz w:val="20"/>
                <w:szCs w:val="20"/>
                <w:color w:val="auto"/>
              </w:rPr>
            </w:pPr>
            <w:r>
              <w:rPr>
                <w:rFonts w:ascii="Arial" w:cs="Arial" w:eastAsia="Arial" w:hAnsi="Arial"/>
                <w:sz w:val="18"/>
                <w:szCs w:val="18"/>
                <w:color w:val="auto"/>
              </w:rPr>
              <w:t>Other comprehensive loss before reclassifications</w:t>
            </w:r>
          </w:p>
        </w:tc>
        <w:tc>
          <w:tcPr>
            <w:tcW w:w="2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(257)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188"/>
        </w:trPr>
        <w:tc>
          <w:tcPr>
            <w:tcW w:w="20" w:type="dxa"/>
            <w:vAlign w:val="bottom"/>
            <w:shd w:val="clear" w:color="auto" w:fill="CCEEFF"/>
          </w:tcPr>
          <w:p>
            <w:pPr>
              <w:spacing w:after="0"/>
              <w:rPr>
                <w:sz w:val="16"/>
                <w:szCs w:val="16"/>
                <w:color w:val="auto"/>
              </w:rPr>
            </w:pPr>
          </w:p>
        </w:tc>
        <w:tc>
          <w:tcPr>
            <w:tcW w:w="4360" w:type="dxa"/>
            <w:vAlign w:val="bottom"/>
            <w:gridSpan w:val="3"/>
            <w:shd w:val="clear" w:color="auto" w:fill="CCEEFF"/>
          </w:tcPr>
          <w:p>
            <w:pPr>
              <w:spacing w:after="0" w:line="189" w:lineRule="exact"/>
              <w:rPr>
                <w:sz w:val="20"/>
                <w:szCs w:val="20"/>
                <w:color w:val="auto"/>
              </w:rPr>
            </w:pPr>
            <w:r>
              <w:rPr>
                <w:rFonts w:ascii="Arial" w:cs="Arial" w:eastAsia="Arial" w:hAnsi="Arial"/>
                <w:sz w:val="18"/>
                <w:szCs w:val="18"/>
                <w:color w:val="auto"/>
              </w:rPr>
              <w:t>Amounts reclassified from accumulated other</w:t>
            </w:r>
          </w:p>
        </w:tc>
        <w:tc>
          <w:tcPr>
            <w:tcW w:w="260" w:type="dxa"/>
            <w:vAlign w:val="bottom"/>
            <w:shd w:val="clear" w:color="auto" w:fill="CCEEFF"/>
          </w:tcPr>
          <w:p>
            <w:pPr>
              <w:spacing w:after="0"/>
              <w:rPr>
                <w:sz w:val="16"/>
                <w:szCs w:val="16"/>
                <w:color w:val="auto"/>
              </w:rPr>
            </w:pP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36"/>
        </w:trPr>
        <w:tc>
          <w:tcPr>
            <w:tcW w:w="20" w:type="dxa"/>
            <w:vAlign w:val="bottom"/>
            <w:shd w:val="clear" w:color="auto" w:fill="CCEEFF"/>
          </w:tcPr>
          <w:p>
            <w:pPr>
              <w:spacing w:after="0"/>
              <w:rPr>
                <w:sz w:val="11"/>
                <w:szCs w:val="11"/>
                <w:color w:val="auto"/>
              </w:rPr>
            </w:pPr>
          </w:p>
        </w:tc>
        <w:tc>
          <w:tcPr>
            <w:tcW w:w="4360" w:type="dxa"/>
            <w:vAlign w:val="bottom"/>
            <w:gridSpan w:val="3"/>
            <w:vMerge w:val="restart"/>
            <w:shd w:val="clear" w:color="auto" w:fill="CCEEFF"/>
          </w:tcPr>
          <w:p>
            <w:pPr>
              <w:ind w:left="160"/>
              <w:spacing w:after="0"/>
              <w:rPr>
                <w:sz w:val="20"/>
                <w:szCs w:val="20"/>
                <w:color w:val="auto"/>
              </w:rPr>
            </w:pPr>
            <w:r>
              <w:rPr>
                <w:rFonts w:ascii="Arial" w:cs="Arial" w:eastAsia="Arial" w:hAnsi="Arial"/>
                <w:sz w:val="18"/>
                <w:szCs w:val="18"/>
                <w:color w:val="auto"/>
              </w:rPr>
              <w:t>comprehensive loss</w:t>
            </w:r>
          </w:p>
        </w:tc>
        <w:tc>
          <w:tcPr>
            <w:tcW w:w="260" w:type="dxa"/>
            <w:vAlign w:val="bottom"/>
            <w:shd w:val="clear" w:color="auto" w:fill="CCEEFF"/>
          </w:tcPr>
          <w:p>
            <w:pPr>
              <w:spacing w:after="0"/>
              <w:rPr>
                <w:sz w:val="11"/>
                <w:szCs w:val="11"/>
                <w:color w:val="auto"/>
              </w:rPr>
            </w:pPr>
          </w:p>
        </w:tc>
        <w:tc>
          <w:tcPr>
            <w:tcW w:w="140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0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4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6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20" w:type="dxa"/>
            <w:vAlign w:val="bottom"/>
            <w:tcBorders>
              <w:bottom w:val="single" w:sz="8" w:color="CCEEFF"/>
            </w:tcBorders>
            <w:shd w:val="clear" w:color="auto" w:fill="CCEEFF"/>
          </w:tcPr>
          <w:p>
            <w:pPr>
              <w:spacing w:after="0"/>
              <w:rPr>
                <w:sz w:val="7"/>
                <w:szCs w:val="7"/>
                <w:color w:val="auto"/>
              </w:rPr>
            </w:pPr>
          </w:p>
        </w:tc>
        <w:tc>
          <w:tcPr>
            <w:tcW w:w="4360" w:type="dxa"/>
            <w:vAlign w:val="bottom"/>
            <w:tcBorders>
              <w:bottom w:val="single" w:sz="8" w:color="CCEEFF"/>
            </w:tcBorders>
            <w:gridSpan w:val="3"/>
            <w:vMerge w:val="continue"/>
            <w:shd w:val="clear" w:color="auto" w:fill="CCEEFF"/>
          </w:tcPr>
          <w:p>
            <w:pPr>
              <w:spacing w:after="0"/>
              <w:rPr>
                <w:sz w:val="7"/>
                <w:szCs w:val="7"/>
                <w:color w:val="auto"/>
              </w:rPr>
            </w:pPr>
          </w:p>
        </w:tc>
        <w:tc>
          <w:tcPr>
            <w:tcW w:w="260" w:type="dxa"/>
            <w:vAlign w:val="bottom"/>
            <w:tcBorders>
              <w:bottom w:val="single" w:sz="8" w:color="auto"/>
            </w:tcBorders>
            <w:shd w:val="clear" w:color="auto" w:fill="CCEEFF"/>
          </w:tcPr>
          <w:p>
            <w:pPr>
              <w:spacing w:after="0"/>
              <w:rPr>
                <w:sz w:val="7"/>
                <w:szCs w:val="7"/>
                <w:color w:val="auto"/>
              </w:rPr>
            </w:pPr>
          </w:p>
        </w:tc>
        <w:tc>
          <w:tcPr>
            <w:tcW w:w="1400" w:type="dxa"/>
            <w:vAlign w:val="bottom"/>
            <w:tcBorders>
              <w:bottom w:val="single" w:sz="8" w:color="auto"/>
            </w:tcBorders>
            <w:shd w:val="clear" w:color="auto" w:fill="CCEEFF"/>
          </w:tcPr>
          <w:p>
            <w:pPr>
              <w:spacing w:after="0"/>
              <w:rPr>
                <w:sz w:val="7"/>
                <w:szCs w:val="7"/>
                <w:color w:val="auto"/>
              </w:rPr>
            </w:pPr>
          </w:p>
        </w:tc>
        <w:tc>
          <w:tcPr>
            <w:tcW w:w="100" w:type="dxa"/>
            <w:vAlign w:val="bottom"/>
            <w:tcBorders>
              <w:bottom w:val="single" w:sz="8" w:color="CCEEFF"/>
            </w:tcBorders>
            <w:shd w:val="clear" w:color="auto" w:fill="CCEEFF"/>
          </w:tcPr>
          <w:p>
            <w:pPr>
              <w:spacing w:after="0"/>
              <w:rPr>
                <w:sz w:val="7"/>
                <w:szCs w:val="7"/>
                <w:color w:val="auto"/>
              </w:rPr>
            </w:pPr>
          </w:p>
        </w:tc>
        <w:tc>
          <w:tcPr>
            <w:tcW w:w="240" w:type="dxa"/>
            <w:vAlign w:val="bottom"/>
            <w:tcBorders>
              <w:bottom w:val="single" w:sz="8" w:color="auto"/>
            </w:tcBorders>
            <w:shd w:val="clear" w:color="auto" w:fill="CCEEFF"/>
          </w:tcPr>
          <w:p>
            <w:pPr>
              <w:spacing w:after="0"/>
              <w:rPr>
                <w:sz w:val="7"/>
                <w:szCs w:val="7"/>
                <w:color w:val="auto"/>
              </w:rPr>
            </w:pPr>
          </w:p>
        </w:tc>
        <w:tc>
          <w:tcPr>
            <w:tcW w:w="1400" w:type="dxa"/>
            <w:vAlign w:val="bottom"/>
            <w:tcBorders>
              <w:bottom w:val="single" w:sz="8" w:color="auto"/>
            </w:tcBorders>
            <w:shd w:val="clear" w:color="auto" w:fill="CCEEFF"/>
          </w:tcPr>
          <w:p>
            <w:pPr>
              <w:spacing w:after="0"/>
              <w:rPr>
                <w:sz w:val="7"/>
                <w:szCs w:val="7"/>
                <w:color w:val="auto"/>
              </w:rPr>
            </w:pPr>
          </w:p>
        </w:tc>
        <w:tc>
          <w:tcPr>
            <w:tcW w:w="100" w:type="dxa"/>
            <w:vAlign w:val="bottom"/>
            <w:tcBorders>
              <w:bottom w:val="single" w:sz="8" w:color="CCEEFF"/>
            </w:tcBorders>
            <w:shd w:val="clear" w:color="auto" w:fill="CCEEFF"/>
          </w:tcPr>
          <w:p>
            <w:pPr>
              <w:spacing w:after="0"/>
              <w:rPr>
                <w:sz w:val="7"/>
                <w:szCs w:val="7"/>
                <w:color w:val="auto"/>
              </w:rPr>
            </w:pPr>
          </w:p>
        </w:tc>
        <w:tc>
          <w:tcPr>
            <w:tcW w:w="200" w:type="dxa"/>
            <w:vAlign w:val="bottom"/>
            <w:tcBorders>
              <w:bottom w:val="single" w:sz="8" w:color="auto"/>
            </w:tcBorders>
            <w:shd w:val="clear" w:color="auto" w:fill="CCEEFF"/>
          </w:tcPr>
          <w:p>
            <w:pPr>
              <w:spacing w:after="0"/>
              <w:rPr>
                <w:sz w:val="7"/>
                <w:szCs w:val="7"/>
                <w:color w:val="auto"/>
              </w:rPr>
            </w:pPr>
          </w:p>
        </w:tc>
        <w:tc>
          <w:tcPr>
            <w:tcW w:w="1440" w:type="dxa"/>
            <w:vAlign w:val="bottom"/>
            <w:tcBorders>
              <w:bottom w:val="single" w:sz="8" w:color="auto"/>
            </w:tcBorders>
            <w:shd w:val="clear" w:color="auto" w:fill="CCEEFF"/>
          </w:tcPr>
          <w:p>
            <w:pPr>
              <w:spacing w:after="0"/>
              <w:rPr>
                <w:sz w:val="7"/>
                <w:szCs w:val="7"/>
                <w:color w:val="auto"/>
              </w:rPr>
            </w:pPr>
          </w:p>
        </w:tc>
        <w:tc>
          <w:tcPr>
            <w:tcW w:w="100" w:type="dxa"/>
            <w:vAlign w:val="bottom"/>
            <w:tcBorders>
              <w:bottom w:val="single" w:sz="8" w:color="CCEEFF"/>
            </w:tcBorders>
            <w:shd w:val="clear" w:color="auto" w:fill="CCEEFF"/>
          </w:tcPr>
          <w:p>
            <w:pPr>
              <w:spacing w:after="0"/>
              <w:rPr>
                <w:sz w:val="7"/>
                <w:szCs w:val="7"/>
                <w:color w:val="auto"/>
              </w:rPr>
            </w:pPr>
          </w:p>
        </w:tc>
        <w:tc>
          <w:tcPr>
            <w:tcW w:w="360" w:type="dxa"/>
            <w:vAlign w:val="bottom"/>
            <w:tcBorders>
              <w:bottom w:val="single" w:sz="8" w:color="auto"/>
            </w:tcBorders>
            <w:shd w:val="clear" w:color="auto" w:fill="CCEEFF"/>
          </w:tcPr>
          <w:p>
            <w:pPr>
              <w:spacing w:after="0"/>
              <w:rPr>
                <w:sz w:val="7"/>
                <w:szCs w:val="7"/>
                <w:color w:val="auto"/>
              </w:rPr>
            </w:pPr>
          </w:p>
        </w:tc>
        <w:tc>
          <w:tcPr>
            <w:tcW w:w="1260" w:type="dxa"/>
            <w:vAlign w:val="bottom"/>
            <w:tcBorders>
              <w:bottom w:val="single" w:sz="8" w:color="auto"/>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60" w:type="dxa"/>
            <w:vAlign w:val="bottom"/>
            <w:gridSpan w:val="3"/>
          </w:tcPr>
          <w:p>
            <w:pPr>
              <w:spacing w:after="0"/>
              <w:rPr>
                <w:sz w:val="20"/>
                <w:szCs w:val="20"/>
                <w:color w:val="auto"/>
              </w:rPr>
            </w:pPr>
            <w:r>
              <w:rPr>
                <w:rFonts w:ascii="Arial" w:cs="Arial" w:eastAsia="Arial" w:hAnsi="Arial"/>
                <w:sz w:val="18"/>
                <w:szCs w:val="18"/>
                <w:color w:val="auto"/>
              </w:rPr>
              <w:t>Net current-period other comprehensive loss</w:t>
            </w:r>
          </w:p>
        </w:tc>
        <w:tc>
          <w:tcPr>
            <w:tcW w:w="2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57"/>
        </w:trPr>
        <w:tc>
          <w:tcPr>
            <w:tcW w:w="20" w:type="dxa"/>
            <w:vAlign w:val="bottom"/>
            <w:shd w:val="clear" w:color="auto" w:fill="CCEEFF"/>
          </w:tcPr>
          <w:p>
            <w:pPr>
              <w:spacing w:after="0"/>
              <w:rPr>
                <w:sz w:val="22"/>
                <w:szCs w:val="22"/>
                <w:color w:val="auto"/>
              </w:rPr>
            </w:pPr>
          </w:p>
        </w:tc>
        <w:tc>
          <w:tcPr>
            <w:tcW w:w="43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Balance at June 30, 2022</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3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(933)</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46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(1,005)</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3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 Hedges</w:t>
      </w:r>
    </w:p>
    <w:p>
      <w:pPr>
        <w:spacing w:after="0" w:line="131" w:lineRule="exact"/>
        <w:rPr>
          <w:sz w:val="20"/>
          <w:szCs w:val="20"/>
          <w:color w:val="auto"/>
        </w:rPr>
      </w:pPr>
    </w:p>
    <w:p>
      <w:pPr>
        <w:jc w:val="both"/>
        <w:ind w:right="20"/>
        <w:spacing w:after="0" w:line="279" w:lineRule="auto"/>
        <w:rPr>
          <w:sz w:val="20"/>
          <w:szCs w:val="20"/>
          <w:color w:val="auto"/>
        </w:rPr>
      </w:pPr>
      <w:r>
        <w:rPr>
          <w:rFonts w:ascii="Arial" w:cs="Arial" w:eastAsia="Arial" w:hAnsi="Arial"/>
          <w:sz w:val="17"/>
          <w:szCs w:val="17"/>
          <w:color w:val="auto"/>
        </w:rPr>
        <w:t>The Company maintains forward exchange contracts, designated as cash flow hedges, to hedge foreign currency exposure to the Indian Rupee (see Note 7). The notional amount of these derivatives was $369 million and $346 million at June 30, 2023 and December 31, 2022, respectively. Based on the amounts recorded in accumulated other comprehensive loss at June 30, 2023, the Company estimates that it will recognize gains of approximately $3 million in cost of processing and services during the next twelve months as foreign exchange forward contracts settle.</w:t>
      </w:r>
    </w:p>
    <w:p>
      <w:pPr>
        <w:spacing w:after="0" w:line="117"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The Company previously entered into treasury lock agreements (“Treasury Locks”), designated as cash flow hedges to manage exposure to fluctuations in benchmark interest rates in anticipation of the issuance of fixed rate debt in connection with the acquisition and refinancing of certain indebtedness of First Data Corporation (“First Data”) and its subsidiaries. In 2019, concurrent with the issuance of U.S dollar-denominated senior notes, the Treasury Locks were settled resulting in a loss, net of income taxes, and recorded in accumulated other comprehensive loss that is being amortized to earnings over the terms of the originally forecasted interest payments. The unamortized balance recorded in accumulated other comprehensive loss related to the Treasury Locks was $123 million and $130 million at June 30, 2023 and December 31, 2022, respectively. Based on the</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amounts recorded in accumulated other comprehensive loss at June 30, 2023, the Company estimates that it will recognize approximately $15 million in net interest expense during the next twelve months related to settled interest rate hedge contracts.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Investment Hedges</w:t>
      </w:r>
    </w:p>
    <w:p>
      <w:pPr>
        <w:spacing w:after="0" w:line="171" w:lineRule="exact"/>
        <w:rPr>
          <w:sz w:val="20"/>
          <w:szCs w:val="20"/>
          <w:color w:val="auto"/>
        </w:rPr>
      </w:pPr>
    </w:p>
    <w:p>
      <w:pPr>
        <w:jc w:val="both"/>
        <w:ind w:right="80"/>
        <w:spacing w:after="0" w:line="287" w:lineRule="auto"/>
        <w:rPr>
          <w:sz w:val="20"/>
          <w:szCs w:val="20"/>
          <w:color w:val="auto"/>
        </w:rPr>
      </w:pPr>
      <w:r>
        <w:rPr>
          <w:rFonts w:ascii="Arial" w:cs="Arial" w:eastAsia="Arial" w:hAnsi="Arial"/>
          <w:sz w:val="16"/>
          <w:szCs w:val="16"/>
          <w:color w:val="auto"/>
        </w:rPr>
        <w:t>To reduce exposure to changes in the value of the Company’s net investments in certain of its foreign currency-denominated subsidiaries due to changes in foreign currency exchange rates, the Company uses fixed-to-fixed cross-currency rate swap contracts and foreign currency-denominated debt as economic hedges of its net investments in such foreign currency-denominated subsidiaries. At June 30, 2023, aggregate notional cross-currency rate swaps of</w:t>
      </w:r>
    </w:p>
    <w:p>
      <w:pPr>
        <w:spacing w:after="0" w:line="2"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400 million Euros were designated as net investment hedges to hedge a portion of the Company’s net investment in certain subsidiaries whose functional currency is the Euro. The Company has designated certain of its Euro- and British Pound-denominated senior notes and Euro commercial paper notes as net investment hedges to hedge a portion of its net investment in certain subsidiaries whose functional currencies are the Euro and the British Pound.</w:t>
      </w:r>
    </w:p>
    <w:p>
      <w:pPr>
        <w:spacing w:after="0" w:line="10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On May 24, 2023, in conjunction with the public offering and issuance of the 2031 Euro Senior Notes (see Note 9), the Company elected to designate such notes as a net investment hedge and simultaneously de-designated its existing net investment hedge election on its 0.375% Euro-denominated senior notes due in July 2023. To mitigate foreign currency exchange exposure on the 0.375% Euro-denominated senior notes, the Company entered into a forward exchange contract with matching critical terms (see Note 7).</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outlines the terms of the Company’s Euro cross-currency rate swap contracts at June 30, 2023:</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200" w:type="dxa"/>
            <w:vAlign w:val="bottom"/>
            <w:vMerge w:val="restart"/>
          </w:tcPr>
          <w:p>
            <w:pPr>
              <w:ind w:left="100"/>
              <w:spacing w:after="0"/>
              <w:rPr>
                <w:sz w:val="20"/>
                <w:szCs w:val="20"/>
                <w:color w:val="auto"/>
              </w:rPr>
            </w:pPr>
            <w:r>
              <w:rPr>
                <w:rFonts w:ascii="Arial" w:cs="Arial" w:eastAsia="Arial" w:hAnsi="Arial"/>
                <w:sz w:val="18"/>
                <w:szCs w:val="18"/>
                <w:b w:val="1"/>
                <w:bCs w:val="1"/>
                <w:color w:val="auto"/>
                <w:w w:val="94"/>
              </w:rPr>
              <w:t>Effective Date of Contract</w:t>
            </w:r>
          </w:p>
        </w:tc>
        <w:tc>
          <w:tcPr>
            <w:tcW w:w="100" w:type="dxa"/>
            <w:vAlign w:val="bottom"/>
          </w:tcPr>
          <w:p>
            <w:pPr>
              <w:spacing w:after="0"/>
              <w:rPr>
                <w:sz w:val="17"/>
                <w:szCs w:val="17"/>
                <w:color w:val="auto"/>
              </w:rPr>
            </w:pPr>
          </w:p>
        </w:tc>
        <w:tc>
          <w:tcPr>
            <w:tcW w:w="22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4"/>
              </w:rPr>
              <w:t>Maturity Date of Contract</w:t>
            </w:r>
          </w:p>
        </w:tc>
        <w:tc>
          <w:tcPr>
            <w:tcW w:w="100" w:type="dxa"/>
            <w:vAlign w:val="bottom"/>
          </w:tcPr>
          <w:p>
            <w:pPr>
              <w:spacing w:after="0"/>
              <w:rPr>
                <w:sz w:val="17"/>
                <w:szCs w:val="17"/>
                <w:color w:val="auto"/>
              </w:rPr>
            </w:pPr>
          </w:p>
        </w:tc>
        <w:tc>
          <w:tcPr>
            <w:tcW w:w="2380" w:type="dxa"/>
            <w:vAlign w:val="bottom"/>
            <w:vMerge w:val="restart"/>
          </w:tcPr>
          <w:p>
            <w:pPr>
              <w:ind w:left="260"/>
              <w:spacing w:after="0"/>
              <w:rPr>
                <w:sz w:val="20"/>
                <w:szCs w:val="20"/>
                <w:color w:val="auto"/>
              </w:rPr>
            </w:pPr>
            <w:r>
              <w:rPr>
                <w:rFonts w:ascii="Arial" w:cs="Arial" w:eastAsia="Arial" w:hAnsi="Arial"/>
                <w:sz w:val="18"/>
                <w:szCs w:val="18"/>
                <w:b w:val="1"/>
                <w:bCs w:val="1"/>
                <w:color w:val="auto"/>
              </w:rPr>
              <w:t>Notional Amount (EUR)</w:t>
            </w:r>
          </w:p>
        </w:tc>
        <w:tc>
          <w:tcPr>
            <w:tcW w:w="80" w:type="dxa"/>
            <w:vAlign w:val="bottom"/>
          </w:tcPr>
          <w:p>
            <w:pPr>
              <w:spacing w:after="0"/>
              <w:rPr>
                <w:sz w:val="17"/>
                <w:szCs w:val="17"/>
                <w:color w:val="auto"/>
              </w:rPr>
            </w:pPr>
          </w:p>
        </w:tc>
        <w:tc>
          <w:tcPr>
            <w:tcW w:w="204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rPr>
              <w:t>Fixed Rate Paid (EUR)</w:t>
            </w:r>
          </w:p>
        </w:tc>
        <w:tc>
          <w:tcPr>
            <w:tcW w:w="100" w:type="dxa"/>
            <w:vAlign w:val="bottom"/>
          </w:tcPr>
          <w:p>
            <w:pPr>
              <w:spacing w:after="0"/>
              <w:rPr>
                <w:sz w:val="17"/>
                <w:szCs w:val="17"/>
                <w:color w:val="auto"/>
              </w:rPr>
            </w:pPr>
          </w:p>
        </w:tc>
        <w:tc>
          <w:tcPr>
            <w:tcW w:w="2040" w:type="dxa"/>
            <w:vAlign w:val="bottom"/>
          </w:tcPr>
          <w:p>
            <w:pPr>
              <w:jc w:val="right"/>
              <w:ind w:right="150"/>
              <w:spacing w:after="0"/>
              <w:rPr>
                <w:sz w:val="20"/>
                <w:szCs w:val="20"/>
                <w:color w:val="auto"/>
              </w:rPr>
            </w:pPr>
            <w:r>
              <w:rPr>
                <w:rFonts w:ascii="Arial" w:cs="Arial" w:eastAsia="Arial" w:hAnsi="Arial"/>
                <w:sz w:val="18"/>
                <w:szCs w:val="18"/>
                <w:b w:val="1"/>
                <w:bCs w:val="1"/>
                <w:color w:val="auto"/>
              </w:rPr>
              <w:t>Fixed Rate Received</w:t>
            </w:r>
          </w:p>
        </w:tc>
        <w:tc>
          <w:tcPr>
            <w:tcW w:w="0" w:type="dxa"/>
            <w:vAlign w:val="bottom"/>
          </w:tcPr>
          <w:p>
            <w:pPr>
              <w:spacing w:after="0"/>
              <w:rPr>
                <w:sz w:val="1"/>
                <w:szCs w:val="1"/>
                <w:color w:val="auto"/>
              </w:rPr>
            </w:pPr>
          </w:p>
        </w:tc>
      </w:tr>
      <w:tr>
        <w:trPr>
          <w:trHeight w:val="239"/>
        </w:trPr>
        <w:tc>
          <w:tcPr>
            <w:tcW w:w="220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20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380" w:type="dxa"/>
            <w:vAlign w:val="bottom"/>
            <w:tcBorders>
              <w:bottom w:val="single" w:sz="8" w:color="auto"/>
            </w:tcBorders>
            <w:vMerge w:val="continue"/>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04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04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(USD)</w:t>
            </w:r>
          </w:p>
        </w:tc>
        <w:tc>
          <w:tcPr>
            <w:tcW w:w="0" w:type="dxa"/>
            <w:vAlign w:val="bottom"/>
          </w:tcPr>
          <w:p>
            <w:pPr>
              <w:spacing w:after="0"/>
              <w:rPr>
                <w:sz w:val="1"/>
                <w:szCs w:val="1"/>
                <w:color w:val="auto"/>
              </w:rPr>
            </w:pPr>
          </w:p>
        </w:tc>
      </w:tr>
      <w:tr>
        <w:trPr>
          <w:trHeight w:val="227"/>
        </w:trPr>
        <w:tc>
          <w:tcPr>
            <w:tcW w:w="2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September 1, 2022</w:t>
            </w:r>
          </w:p>
        </w:tc>
        <w:tc>
          <w:tcPr>
            <w:tcW w:w="100" w:type="dxa"/>
            <w:vAlign w:val="bottom"/>
            <w:shd w:val="clear" w:color="auto" w:fill="CCEEFF"/>
          </w:tcPr>
          <w:p>
            <w:pPr>
              <w:spacing w:after="0"/>
              <w:rPr>
                <w:sz w:val="19"/>
                <w:szCs w:val="19"/>
                <w:color w:val="auto"/>
              </w:rPr>
            </w:pPr>
          </w:p>
        </w:tc>
        <w:tc>
          <w:tcPr>
            <w:tcW w:w="2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June 1, 2025</w:t>
            </w:r>
          </w:p>
        </w:tc>
        <w:tc>
          <w:tcPr>
            <w:tcW w:w="100" w:type="dxa"/>
            <w:vAlign w:val="bottom"/>
            <w:shd w:val="clear" w:color="auto" w:fill="CCEEFF"/>
          </w:tcPr>
          <w:p>
            <w:pPr>
              <w:spacing w:after="0"/>
              <w:rPr>
                <w:sz w:val="19"/>
                <w:szCs w:val="19"/>
                <w:color w:val="auto"/>
              </w:rPr>
            </w:pPr>
          </w:p>
        </w:tc>
        <w:tc>
          <w:tcPr>
            <w:tcW w:w="2380" w:type="dxa"/>
            <w:vAlign w:val="bottom"/>
            <w:shd w:val="clear" w:color="auto" w:fill="CCEEFF"/>
          </w:tcPr>
          <w:p>
            <w:pPr>
              <w:ind w:left="1620"/>
              <w:spacing w:after="0"/>
              <w:rPr>
                <w:sz w:val="20"/>
                <w:szCs w:val="20"/>
                <w:color w:val="auto"/>
              </w:rPr>
            </w:pPr>
            <w:r>
              <w:rPr>
                <w:rFonts w:ascii="Arial" w:cs="Arial" w:eastAsia="Arial" w:hAnsi="Arial"/>
                <w:sz w:val="18"/>
                <w:szCs w:val="18"/>
                <w:color w:val="auto"/>
                <w:w w:val="97"/>
              </w:rPr>
              <w:t>80 million</w:t>
            </w:r>
          </w:p>
        </w:tc>
        <w:tc>
          <w:tcPr>
            <w:tcW w:w="8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2.096 %</w:t>
            </w:r>
          </w:p>
        </w:tc>
        <w:tc>
          <w:tcPr>
            <w:tcW w:w="10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3.85 %</w:t>
            </w:r>
          </w:p>
        </w:tc>
        <w:tc>
          <w:tcPr>
            <w:tcW w:w="0" w:type="dxa"/>
            <w:vAlign w:val="bottom"/>
          </w:tcPr>
          <w:p>
            <w:pPr>
              <w:spacing w:after="0"/>
              <w:rPr>
                <w:sz w:val="1"/>
                <w:szCs w:val="1"/>
                <w:color w:val="auto"/>
              </w:rPr>
            </w:pPr>
          </w:p>
        </w:tc>
      </w:tr>
      <w:tr>
        <w:trPr>
          <w:trHeight w:val="229"/>
        </w:trPr>
        <w:tc>
          <w:tcPr>
            <w:tcW w:w="2200" w:type="dxa"/>
            <w:vAlign w:val="bottom"/>
          </w:tcPr>
          <w:p>
            <w:pPr>
              <w:ind w:left="20"/>
              <w:spacing w:after="0"/>
              <w:rPr>
                <w:sz w:val="20"/>
                <w:szCs w:val="20"/>
                <w:color w:val="auto"/>
              </w:rPr>
            </w:pPr>
            <w:r>
              <w:rPr>
                <w:rFonts w:ascii="Arial" w:cs="Arial" w:eastAsia="Arial" w:hAnsi="Arial"/>
                <w:sz w:val="18"/>
                <w:szCs w:val="18"/>
                <w:color w:val="auto"/>
              </w:rPr>
              <w:t>September 15, 2022</w:t>
            </w:r>
          </w:p>
        </w:tc>
        <w:tc>
          <w:tcPr>
            <w:tcW w:w="100" w:type="dxa"/>
            <w:vAlign w:val="bottom"/>
          </w:tcPr>
          <w:p>
            <w:pPr>
              <w:spacing w:after="0"/>
              <w:rPr>
                <w:sz w:val="19"/>
                <w:szCs w:val="19"/>
                <w:color w:val="auto"/>
              </w:rPr>
            </w:pPr>
          </w:p>
        </w:tc>
        <w:tc>
          <w:tcPr>
            <w:tcW w:w="2200" w:type="dxa"/>
            <w:vAlign w:val="bottom"/>
          </w:tcPr>
          <w:p>
            <w:pPr>
              <w:jc w:val="center"/>
              <w:spacing w:after="0"/>
              <w:rPr>
                <w:sz w:val="20"/>
                <w:szCs w:val="20"/>
                <w:color w:val="auto"/>
              </w:rPr>
            </w:pPr>
            <w:r>
              <w:rPr>
                <w:rFonts w:ascii="Arial" w:cs="Arial" w:eastAsia="Arial" w:hAnsi="Arial"/>
                <w:sz w:val="18"/>
                <w:szCs w:val="18"/>
                <w:color w:val="auto"/>
                <w:w w:val="90"/>
              </w:rPr>
              <w:t>July 1, 2026</w:t>
            </w:r>
          </w:p>
        </w:tc>
        <w:tc>
          <w:tcPr>
            <w:tcW w:w="100" w:type="dxa"/>
            <w:vAlign w:val="bottom"/>
          </w:tcPr>
          <w:p>
            <w:pPr>
              <w:spacing w:after="0"/>
              <w:rPr>
                <w:sz w:val="19"/>
                <w:szCs w:val="19"/>
                <w:color w:val="auto"/>
              </w:rPr>
            </w:pPr>
          </w:p>
        </w:tc>
        <w:tc>
          <w:tcPr>
            <w:tcW w:w="2380" w:type="dxa"/>
            <w:vAlign w:val="bottom"/>
          </w:tcPr>
          <w:p>
            <w:pPr>
              <w:ind w:left="1620"/>
              <w:spacing w:after="0"/>
              <w:rPr>
                <w:sz w:val="20"/>
                <w:szCs w:val="20"/>
                <w:color w:val="auto"/>
              </w:rPr>
            </w:pPr>
            <w:r>
              <w:rPr>
                <w:rFonts w:ascii="Arial" w:cs="Arial" w:eastAsia="Arial" w:hAnsi="Arial"/>
                <w:sz w:val="18"/>
                <w:szCs w:val="18"/>
                <w:color w:val="auto"/>
                <w:w w:val="97"/>
              </w:rPr>
              <w:t>80 million</w:t>
            </w:r>
          </w:p>
        </w:tc>
        <w:tc>
          <w:tcPr>
            <w:tcW w:w="2120" w:type="dxa"/>
            <w:vAlign w:val="bottom"/>
            <w:gridSpan w:val="2"/>
          </w:tcPr>
          <w:p>
            <w:pPr>
              <w:jc w:val="right"/>
              <w:spacing w:after="0"/>
              <w:rPr>
                <w:sz w:val="20"/>
                <w:szCs w:val="20"/>
                <w:color w:val="auto"/>
              </w:rPr>
            </w:pPr>
            <w:r>
              <w:rPr>
                <w:rFonts w:ascii="Arial" w:cs="Arial" w:eastAsia="Arial" w:hAnsi="Arial"/>
                <w:sz w:val="18"/>
                <w:szCs w:val="18"/>
                <w:color w:val="auto"/>
              </w:rPr>
              <w:t>1.635 %</w:t>
            </w:r>
          </w:p>
        </w:tc>
        <w:tc>
          <w:tcPr>
            <w:tcW w:w="2140" w:type="dxa"/>
            <w:vAlign w:val="bottom"/>
            <w:gridSpan w:val="2"/>
          </w:tcPr>
          <w:p>
            <w:pPr>
              <w:jc w:val="right"/>
              <w:spacing w:after="0"/>
              <w:rPr>
                <w:sz w:val="20"/>
                <w:szCs w:val="20"/>
                <w:color w:val="auto"/>
              </w:rPr>
            </w:pPr>
            <w:r>
              <w:rPr>
                <w:rFonts w:ascii="Arial" w:cs="Arial" w:eastAsia="Arial" w:hAnsi="Arial"/>
                <w:sz w:val="18"/>
                <w:szCs w:val="18"/>
                <w:color w:val="auto"/>
              </w:rPr>
              <w:t>3.20 %</w:t>
            </w:r>
          </w:p>
        </w:tc>
        <w:tc>
          <w:tcPr>
            <w:tcW w:w="0" w:type="dxa"/>
            <w:vAlign w:val="bottom"/>
          </w:tcPr>
          <w:p>
            <w:pPr>
              <w:spacing w:after="0"/>
              <w:rPr>
                <w:sz w:val="1"/>
                <w:szCs w:val="1"/>
                <w:color w:val="auto"/>
              </w:rPr>
            </w:pPr>
          </w:p>
        </w:tc>
      </w:tr>
      <w:tr>
        <w:trPr>
          <w:trHeight w:val="243"/>
        </w:trPr>
        <w:tc>
          <w:tcPr>
            <w:tcW w:w="2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October 6, 2022</w:t>
            </w:r>
          </w:p>
        </w:tc>
        <w:tc>
          <w:tcPr>
            <w:tcW w:w="100" w:type="dxa"/>
            <w:vAlign w:val="bottom"/>
            <w:shd w:val="clear" w:color="auto" w:fill="CCEEFF"/>
          </w:tcPr>
          <w:p>
            <w:pPr>
              <w:spacing w:after="0"/>
              <w:rPr>
                <w:sz w:val="21"/>
                <w:szCs w:val="21"/>
                <w:color w:val="auto"/>
              </w:rPr>
            </w:pPr>
          </w:p>
        </w:tc>
        <w:tc>
          <w:tcPr>
            <w:tcW w:w="2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June 1, 2025</w:t>
            </w:r>
          </w:p>
        </w:tc>
        <w:tc>
          <w:tcPr>
            <w:tcW w:w="100" w:type="dxa"/>
            <w:vAlign w:val="bottom"/>
            <w:shd w:val="clear" w:color="auto" w:fill="CCEEFF"/>
          </w:tcPr>
          <w:p>
            <w:pPr>
              <w:spacing w:after="0"/>
              <w:rPr>
                <w:sz w:val="21"/>
                <w:szCs w:val="21"/>
                <w:color w:val="auto"/>
              </w:rPr>
            </w:pPr>
          </w:p>
        </w:tc>
        <w:tc>
          <w:tcPr>
            <w:tcW w:w="2380" w:type="dxa"/>
            <w:vAlign w:val="bottom"/>
            <w:shd w:val="clear" w:color="auto" w:fill="CCEEFF"/>
          </w:tcPr>
          <w:p>
            <w:pPr>
              <w:ind w:left="1620"/>
              <w:spacing w:after="0"/>
              <w:rPr>
                <w:sz w:val="20"/>
                <w:szCs w:val="20"/>
                <w:color w:val="auto"/>
              </w:rPr>
            </w:pPr>
            <w:r>
              <w:rPr>
                <w:rFonts w:ascii="Arial" w:cs="Arial" w:eastAsia="Arial" w:hAnsi="Arial"/>
                <w:sz w:val="18"/>
                <w:szCs w:val="18"/>
                <w:color w:val="auto"/>
                <w:w w:val="97"/>
              </w:rPr>
              <w:t>80 million</w:t>
            </w:r>
          </w:p>
        </w:tc>
        <w:tc>
          <w:tcPr>
            <w:tcW w:w="2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1.922 %</w:t>
            </w:r>
          </w:p>
        </w:tc>
        <w:tc>
          <w:tcPr>
            <w:tcW w:w="2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3.85 %</w:t>
            </w:r>
          </w:p>
        </w:tc>
        <w:tc>
          <w:tcPr>
            <w:tcW w:w="0" w:type="dxa"/>
            <w:vAlign w:val="bottom"/>
          </w:tcPr>
          <w:p>
            <w:pPr>
              <w:spacing w:after="0"/>
              <w:rPr>
                <w:sz w:val="1"/>
                <w:szCs w:val="1"/>
                <w:color w:val="auto"/>
              </w:rPr>
            </w:pPr>
          </w:p>
        </w:tc>
      </w:tr>
      <w:tr>
        <w:trPr>
          <w:trHeight w:val="229"/>
        </w:trPr>
        <w:tc>
          <w:tcPr>
            <w:tcW w:w="2200" w:type="dxa"/>
            <w:vAlign w:val="bottom"/>
          </w:tcPr>
          <w:p>
            <w:pPr>
              <w:ind w:left="20"/>
              <w:spacing w:after="0"/>
              <w:rPr>
                <w:sz w:val="20"/>
                <w:szCs w:val="20"/>
                <w:color w:val="auto"/>
              </w:rPr>
            </w:pPr>
            <w:r>
              <w:rPr>
                <w:rFonts w:ascii="Arial" w:cs="Arial" w:eastAsia="Arial" w:hAnsi="Arial"/>
                <w:sz w:val="18"/>
                <w:szCs w:val="18"/>
                <w:color w:val="auto"/>
              </w:rPr>
              <w:t>October 27, 2022</w:t>
            </w:r>
          </w:p>
        </w:tc>
        <w:tc>
          <w:tcPr>
            <w:tcW w:w="100" w:type="dxa"/>
            <w:vAlign w:val="bottom"/>
          </w:tcPr>
          <w:p>
            <w:pPr>
              <w:spacing w:after="0"/>
              <w:rPr>
                <w:sz w:val="19"/>
                <w:szCs w:val="19"/>
                <w:color w:val="auto"/>
              </w:rPr>
            </w:pPr>
          </w:p>
        </w:tc>
        <w:tc>
          <w:tcPr>
            <w:tcW w:w="2200" w:type="dxa"/>
            <w:vAlign w:val="bottom"/>
          </w:tcPr>
          <w:p>
            <w:pPr>
              <w:jc w:val="center"/>
              <w:spacing w:after="0"/>
              <w:rPr>
                <w:sz w:val="20"/>
                <w:szCs w:val="20"/>
                <w:color w:val="auto"/>
              </w:rPr>
            </w:pPr>
            <w:r>
              <w:rPr>
                <w:rFonts w:ascii="Arial" w:cs="Arial" w:eastAsia="Arial" w:hAnsi="Arial"/>
                <w:sz w:val="18"/>
                <w:szCs w:val="18"/>
                <w:color w:val="auto"/>
                <w:w w:val="90"/>
              </w:rPr>
              <w:t>July 1, 2026</w:t>
            </w:r>
          </w:p>
        </w:tc>
        <w:tc>
          <w:tcPr>
            <w:tcW w:w="100" w:type="dxa"/>
            <w:vAlign w:val="bottom"/>
          </w:tcPr>
          <w:p>
            <w:pPr>
              <w:spacing w:after="0"/>
              <w:rPr>
                <w:sz w:val="19"/>
                <w:szCs w:val="19"/>
                <w:color w:val="auto"/>
              </w:rPr>
            </w:pPr>
          </w:p>
        </w:tc>
        <w:tc>
          <w:tcPr>
            <w:tcW w:w="2380" w:type="dxa"/>
            <w:vAlign w:val="bottom"/>
          </w:tcPr>
          <w:p>
            <w:pPr>
              <w:ind w:left="1620"/>
              <w:spacing w:after="0"/>
              <w:rPr>
                <w:sz w:val="20"/>
                <w:szCs w:val="20"/>
                <w:color w:val="auto"/>
              </w:rPr>
            </w:pPr>
            <w:r>
              <w:rPr>
                <w:rFonts w:ascii="Arial" w:cs="Arial" w:eastAsia="Arial" w:hAnsi="Arial"/>
                <w:sz w:val="18"/>
                <w:szCs w:val="18"/>
                <w:color w:val="auto"/>
                <w:w w:val="97"/>
              </w:rPr>
              <w:t>80 million</w:t>
            </w:r>
          </w:p>
        </w:tc>
        <w:tc>
          <w:tcPr>
            <w:tcW w:w="2120" w:type="dxa"/>
            <w:vAlign w:val="bottom"/>
            <w:gridSpan w:val="2"/>
          </w:tcPr>
          <w:p>
            <w:pPr>
              <w:jc w:val="right"/>
              <w:spacing w:after="0"/>
              <w:rPr>
                <w:sz w:val="20"/>
                <w:szCs w:val="20"/>
                <w:color w:val="auto"/>
              </w:rPr>
            </w:pPr>
            <w:r>
              <w:rPr>
                <w:rFonts w:ascii="Arial" w:cs="Arial" w:eastAsia="Arial" w:hAnsi="Arial"/>
                <w:sz w:val="18"/>
                <w:szCs w:val="18"/>
                <w:color w:val="auto"/>
              </w:rPr>
              <w:t>1.458 %</w:t>
            </w:r>
          </w:p>
        </w:tc>
        <w:tc>
          <w:tcPr>
            <w:tcW w:w="2140" w:type="dxa"/>
            <w:vAlign w:val="bottom"/>
            <w:gridSpan w:val="2"/>
          </w:tcPr>
          <w:p>
            <w:pPr>
              <w:jc w:val="right"/>
              <w:spacing w:after="0"/>
              <w:rPr>
                <w:sz w:val="20"/>
                <w:szCs w:val="20"/>
                <w:color w:val="auto"/>
              </w:rPr>
            </w:pPr>
            <w:r>
              <w:rPr>
                <w:rFonts w:ascii="Arial" w:cs="Arial" w:eastAsia="Arial" w:hAnsi="Arial"/>
                <w:sz w:val="18"/>
                <w:szCs w:val="18"/>
                <w:color w:val="auto"/>
              </w:rPr>
              <w:t>3.20 %</w:t>
            </w:r>
          </w:p>
        </w:tc>
        <w:tc>
          <w:tcPr>
            <w:tcW w:w="0" w:type="dxa"/>
            <w:vAlign w:val="bottom"/>
          </w:tcPr>
          <w:p>
            <w:pPr>
              <w:spacing w:after="0"/>
              <w:rPr>
                <w:sz w:val="1"/>
                <w:szCs w:val="1"/>
                <w:color w:val="auto"/>
              </w:rPr>
            </w:pPr>
          </w:p>
        </w:tc>
      </w:tr>
      <w:tr>
        <w:trPr>
          <w:trHeight w:val="229"/>
        </w:trPr>
        <w:tc>
          <w:tcPr>
            <w:tcW w:w="2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November 10, 2022</w:t>
            </w:r>
          </w:p>
        </w:tc>
        <w:tc>
          <w:tcPr>
            <w:tcW w:w="100" w:type="dxa"/>
            <w:vAlign w:val="bottom"/>
            <w:shd w:val="clear" w:color="auto" w:fill="CCEEFF"/>
          </w:tcPr>
          <w:p>
            <w:pPr>
              <w:spacing w:after="0"/>
              <w:rPr>
                <w:sz w:val="19"/>
                <w:szCs w:val="19"/>
                <w:color w:val="auto"/>
              </w:rPr>
            </w:pPr>
          </w:p>
        </w:tc>
        <w:tc>
          <w:tcPr>
            <w:tcW w:w="2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June 1, 2025</w:t>
            </w:r>
          </w:p>
        </w:tc>
        <w:tc>
          <w:tcPr>
            <w:tcW w:w="100" w:type="dxa"/>
            <w:vAlign w:val="bottom"/>
            <w:shd w:val="clear" w:color="auto" w:fill="CCEEFF"/>
          </w:tcPr>
          <w:p>
            <w:pPr>
              <w:spacing w:after="0"/>
              <w:rPr>
                <w:sz w:val="19"/>
                <w:szCs w:val="19"/>
                <w:color w:val="auto"/>
              </w:rPr>
            </w:pPr>
          </w:p>
        </w:tc>
        <w:tc>
          <w:tcPr>
            <w:tcW w:w="2380" w:type="dxa"/>
            <w:vAlign w:val="bottom"/>
            <w:shd w:val="clear" w:color="auto" w:fill="CCEEFF"/>
          </w:tcPr>
          <w:p>
            <w:pPr>
              <w:ind w:left="1620"/>
              <w:spacing w:after="0"/>
              <w:rPr>
                <w:sz w:val="20"/>
                <w:szCs w:val="20"/>
                <w:color w:val="auto"/>
              </w:rPr>
            </w:pPr>
            <w:r>
              <w:rPr>
                <w:rFonts w:ascii="Arial" w:cs="Arial" w:eastAsia="Arial" w:hAnsi="Arial"/>
                <w:sz w:val="18"/>
                <w:szCs w:val="18"/>
                <w:color w:val="auto"/>
                <w:w w:val="97"/>
              </w:rPr>
              <w:t>80 million</w:t>
            </w:r>
          </w:p>
        </w:tc>
        <w:tc>
          <w:tcPr>
            <w:tcW w:w="2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1.816 %</w:t>
            </w:r>
          </w:p>
        </w:tc>
        <w:tc>
          <w:tcPr>
            <w:tcW w:w="2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3.85 %</w:t>
            </w:r>
          </w:p>
        </w:tc>
        <w:tc>
          <w:tcPr>
            <w:tcW w:w="0" w:type="dxa"/>
            <w:vAlign w:val="bottom"/>
          </w:tcPr>
          <w:p>
            <w:pPr>
              <w:spacing w:after="0"/>
              <w:rPr>
                <w:sz w:val="1"/>
                <w:szCs w:val="1"/>
                <w:color w:val="auto"/>
              </w:rPr>
            </w:pPr>
          </w:p>
        </w:tc>
      </w:tr>
    </w:tbl>
    <w:p>
      <w:pPr>
        <w:spacing w:after="0" w:line="242"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color w:val="auto"/>
        </w:rPr>
        <w:t>Foreign currency transaction gains or losses on the qualifying net investment hedge instruments are recorded as foreign currency translation within other comprehensive income (loss) in the consolidated statements of comprehensive income and will remain in accumulated other comprehensive loss in the consolidated balance sheets until the sale or complete liquidation of the underlying foreign subsidiaries.</w:t>
      </w:r>
    </w:p>
    <w:p>
      <w:pPr>
        <w:spacing w:after="0" w:line="11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Foreign currency transaction (losses) gains, net of income tax, related to net investment hedges that were recorded in other comprehensive income (loss) in the consolidated statements of comprehensive income were as follows: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960" w:type="dxa"/>
            <w:vAlign w:val="bottom"/>
            <w:gridSpan w:val="6"/>
          </w:tcPr>
          <w:p>
            <w:pPr>
              <w:ind w:left="300"/>
              <w:spacing w:after="0"/>
              <w:rPr>
                <w:sz w:val="20"/>
                <w:szCs w:val="20"/>
                <w:color w:val="auto"/>
              </w:rPr>
            </w:pPr>
            <w:r>
              <w:rPr>
                <w:rFonts w:ascii="Arial" w:cs="Arial" w:eastAsia="Arial" w:hAnsi="Arial"/>
                <w:sz w:val="18"/>
                <w:szCs w:val="18"/>
                <w:b w:val="1"/>
                <w:bCs w:val="1"/>
                <w:color w:val="auto"/>
              </w:rPr>
              <w:t>Three Months Ended</w:t>
            </w:r>
          </w:p>
        </w:tc>
        <w:tc>
          <w:tcPr>
            <w:tcW w:w="2540" w:type="dxa"/>
            <w:vAlign w:val="bottom"/>
            <w:gridSpan w:val="4"/>
          </w:tcPr>
          <w:p>
            <w:pPr>
              <w:jc w:val="right"/>
              <w:ind w:right="630"/>
              <w:spacing w:after="0"/>
              <w:rPr>
                <w:sz w:val="20"/>
                <w:szCs w:val="20"/>
                <w:color w:val="auto"/>
              </w:rPr>
            </w:pPr>
            <w:r>
              <w:rPr>
                <w:rFonts w:ascii="Arial" w:cs="Arial" w:eastAsia="Arial" w:hAnsi="Arial"/>
                <w:sz w:val="18"/>
                <w:szCs w:val="18"/>
                <w:b w:val="1"/>
                <w:bCs w:val="1"/>
                <w:color w:val="auto"/>
              </w:rPr>
              <w:t>Six Months Ended</w:t>
            </w:r>
          </w:p>
        </w:tc>
      </w:tr>
      <w:tr>
        <w:trPr>
          <w:trHeight w:val="239"/>
        </w:trPr>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8"/>
                <w:szCs w:val="18"/>
                <w:b w:val="1"/>
                <w:bCs w:val="1"/>
                <w:color w:val="auto"/>
              </w:rPr>
              <w:t>June 30,</w:t>
            </w:r>
          </w:p>
        </w:tc>
        <w:tc>
          <w:tcPr>
            <w:tcW w:w="9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8"/>
                <w:szCs w:val="18"/>
                <w:b w:val="1"/>
                <w:bCs w:val="1"/>
                <w:color w:val="auto"/>
              </w:rPr>
              <w:t>June 30,</w:t>
            </w:r>
          </w:p>
        </w:tc>
        <w:tc>
          <w:tcPr>
            <w:tcW w:w="980" w:type="dxa"/>
            <w:vAlign w:val="bottom"/>
            <w:tcBorders>
              <w:bottom w:val="single" w:sz="8" w:color="auto"/>
            </w:tcBorders>
          </w:tcPr>
          <w:p>
            <w:pPr>
              <w:spacing w:after="0"/>
              <w:rPr>
                <w:sz w:val="20"/>
                <w:szCs w:val="20"/>
                <w:color w:val="auto"/>
              </w:rPr>
            </w:pPr>
          </w:p>
        </w:tc>
      </w:tr>
      <w:tr>
        <w:trPr>
          <w:trHeight w:val="187"/>
        </w:trPr>
        <w:tc>
          <w:tcPr>
            <w:tcW w:w="20" w:type="dxa"/>
            <w:vAlign w:val="bottom"/>
          </w:tcPr>
          <w:p>
            <w:pPr>
              <w:spacing w:after="0"/>
              <w:rPr>
                <w:sz w:val="16"/>
                <w:szCs w:val="16"/>
                <w:color w:val="auto"/>
              </w:rPr>
            </w:pPr>
          </w:p>
        </w:tc>
        <w:tc>
          <w:tcPr>
            <w:tcW w:w="5420" w:type="dxa"/>
            <w:vAlign w:val="bottom"/>
            <w:gridSpan w:val="2"/>
          </w:tcPr>
          <w:p>
            <w:pPr>
              <w:spacing w:after="0"/>
              <w:rPr>
                <w:sz w:val="20"/>
                <w:szCs w:val="20"/>
                <w:color w:val="auto"/>
              </w:rPr>
            </w:pPr>
            <w:r>
              <w:rPr>
                <w:rFonts w:ascii="Arial" w:cs="Arial" w:eastAsia="Arial" w:hAnsi="Arial"/>
                <w:sz w:val="16"/>
                <w:szCs w:val="16"/>
                <w:b w:val="1"/>
                <w:bCs w:val="1"/>
                <w:color w:val="auto"/>
              </w:rPr>
              <w:t>(In millions)</w:t>
            </w:r>
          </w:p>
        </w:tc>
        <w:tc>
          <w:tcPr>
            <w:tcW w:w="300" w:type="dxa"/>
            <w:vAlign w:val="bottom"/>
          </w:tcPr>
          <w:p>
            <w:pPr>
              <w:spacing w:after="0"/>
              <w:rPr>
                <w:sz w:val="16"/>
                <w:szCs w:val="16"/>
                <w:color w:val="auto"/>
              </w:rPr>
            </w:pPr>
          </w:p>
        </w:tc>
        <w:tc>
          <w:tcPr>
            <w:tcW w:w="1080" w:type="dxa"/>
            <w:vAlign w:val="bottom"/>
          </w:tcPr>
          <w:p>
            <w:pPr>
              <w:jc w:val="right"/>
              <w:ind w:right="430"/>
              <w:spacing w:after="0" w:line="187" w:lineRule="exact"/>
              <w:rPr>
                <w:sz w:val="20"/>
                <w:szCs w:val="20"/>
                <w:color w:val="auto"/>
              </w:rPr>
            </w:pPr>
            <w:r>
              <w:rPr>
                <w:rFonts w:ascii="Arial" w:cs="Arial" w:eastAsia="Arial" w:hAnsi="Arial"/>
                <w:sz w:val="18"/>
                <w:szCs w:val="18"/>
                <w:b w:val="1"/>
                <w:bCs w:val="1"/>
                <w:color w:val="auto"/>
              </w:rPr>
              <w:t>2023</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80" w:type="dxa"/>
            <w:vAlign w:val="bottom"/>
          </w:tcPr>
          <w:p>
            <w:pPr>
              <w:jc w:val="right"/>
              <w:ind w:right="430"/>
              <w:spacing w:after="0" w:line="187" w:lineRule="exact"/>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ind w:right="410"/>
              <w:spacing w:after="0" w:line="187" w:lineRule="exact"/>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80" w:type="dxa"/>
            <w:vAlign w:val="bottom"/>
          </w:tcPr>
          <w:p>
            <w:pPr>
              <w:jc w:val="right"/>
              <w:ind w:right="410"/>
              <w:spacing w:after="0" w:line="187" w:lineRule="exact"/>
              <w:rPr>
                <w:sz w:val="20"/>
                <w:szCs w:val="20"/>
                <w:color w:val="auto"/>
              </w:rPr>
            </w:pPr>
            <w:r>
              <w:rPr>
                <w:rFonts w:ascii="Arial" w:cs="Arial" w:eastAsia="Arial" w:hAnsi="Arial"/>
                <w:sz w:val="18"/>
                <w:szCs w:val="18"/>
                <w:b w:val="1"/>
                <w:bCs w:val="1"/>
                <w:color w:val="auto"/>
              </w:rPr>
              <w:t>2022</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45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90"/>
        </w:trPr>
        <w:tc>
          <w:tcPr>
            <w:tcW w:w="20" w:type="dxa"/>
            <w:vAlign w:val="bottom"/>
            <w:shd w:val="clear" w:color="auto" w:fill="CCEEFF"/>
          </w:tcPr>
          <w:p>
            <w:pPr>
              <w:spacing w:after="0"/>
              <w:rPr>
                <w:sz w:val="24"/>
                <w:szCs w:val="24"/>
                <w:color w:val="auto"/>
              </w:rPr>
            </w:pPr>
          </w:p>
        </w:tc>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Cross-currency rate swap contracts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5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(5)  $</w:t>
            </w:r>
          </w:p>
        </w:tc>
        <w:tc>
          <w:tcPr>
            <w:tcW w:w="1400" w:type="dxa"/>
            <w:vAlign w:val="bottom"/>
            <w:gridSpan w:val="3"/>
            <w:shd w:val="clear" w:color="auto" w:fill="CCEEFF"/>
          </w:tcPr>
          <w:p>
            <w:pPr>
              <w:ind w:left="720"/>
              <w:spacing w:after="0"/>
              <w:rPr>
                <w:sz w:val="20"/>
                <w:szCs w:val="20"/>
                <w:color w:val="auto"/>
              </w:rPr>
            </w:pPr>
            <w:r>
              <w:rPr>
                <w:rFonts w:ascii="Arial" w:cs="Arial" w:eastAsia="Arial" w:hAnsi="Arial"/>
                <w:sz w:val="18"/>
                <w:szCs w:val="18"/>
                <w:color w:val="auto"/>
              </w:rPr>
              <w:t>—   $</w:t>
            </w:r>
          </w:p>
        </w:tc>
        <w:tc>
          <w:tcPr>
            <w:tcW w:w="15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(7)  $</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97"/>
        </w:trPr>
        <w:tc>
          <w:tcPr>
            <w:tcW w:w="20" w:type="dxa"/>
            <w:vAlign w:val="bottom"/>
          </w:tcPr>
          <w:p>
            <w:pPr>
              <w:spacing w:after="0"/>
              <w:rPr>
                <w:sz w:val="24"/>
                <w:szCs w:val="24"/>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rPr>
              <w:t>Foreign currency-denominated debt</w:t>
            </w:r>
          </w:p>
        </w:tc>
        <w:tc>
          <w:tcPr>
            <w:tcW w:w="3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(50)</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181</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248</w:t>
            </w:r>
          </w:p>
        </w:tc>
      </w:tr>
    </w:tbl>
    <w:p>
      <w:pPr>
        <w:spacing w:after="0" w:line="242" w:lineRule="exact"/>
        <w:rPr>
          <w:sz w:val="20"/>
          <w:szCs w:val="20"/>
          <w:color w:val="auto"/>
        </w:rPr>
      </w:pPr>
    </w:p>
    <w:p>
      <w:pPr>
        <w:jc w:val="both"/>
        <w:ind w:right="100"/>
        <w:spacing w:after="0" w:line="286" w:lineRule="auto"/>
        <w:rPr>
          <w:sz w:val="20"/>
          <w:szCs w:val="20"/>
          <w:color w:val="auto"/>
        </w:rPr>
      </w:pPr>
      <w:r>
        <w:rPr>
          <w:rFonts w:ascii="Arial" w:cs="Arial" w:eastAsia="Arial" w:hAnsi="Arial"/>
          <w:sz w:val="17"/>
          <w:szCs w:val="17"/>
          <w:color w:val="auto"/>
        </w:rPr>
        <w:t>The Company recorded income tax impacts of $18 million and $(61) million during the three months ended June 30, 2023 and 2022, respectively, and $40 million and $(83) million during the six months ended June 30, 2023 and 2022, respectively, in other comprehensive income (loss) from the translation of foreign currency-denominated senior notes, commercial paper notes and cross-currency rate swap contracts.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Share-Based Compensation</w:t>
      </w:r>
    </w:p>
    <w:p>
      <w:pPr>
        <w:spacing w:after="0" w:line="175"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The Company recognized $106 million and $94 million of share-based compensation expense during the three months ended June 30, 2023 and 2022, respectively, and $199 million and $155 million of share-based compensation expense during the six months ended June 30, 2023 and 2022, respectively. The Company’s share-based compensation awards are typically granted in the first quarter of the year, and may also occur throughout the year in conjunction with acquisitions of businesses. At June 30, 2023, the total remaining unrecognized compensation cost for restricted stock units and awards, performance share units, and unvested stock options, net of estimated forfeitures, of $577 million is expected to be recognized over a weighted-average period of 2.0 years.</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6"/>
          <w:szCs w:val="16"/>
          <w:color w:val="auto"/>
        </w:rPr>
        <w:t>A summary of restricted stock unit, restricted stock award and performance share unit activity during the six months ended June 30, 2023 is as follows: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660" w:type="dxa"/>
            <w:vAlign w:val="bottom"/>
          </w:tcPr>
          <w:p>
            <w:pPr>
              <w:spacing w:after="0"/>
              <w:rPr>
                <w:sz w:val="20"/>
                <w:szCs w:val="20"/>
                <w:color w:val="auto"/>
              </w:rPr>
            </w:pPr>
          </w:p>
        </w:tc>
        <w:tc>
          <w:tcPr>
            <w:tcW w:w="3240" w:type="dxa"/>
            <w:vAlign w:val="bottom"/>
            <w:tcBorders>
              <w:bottom w:val="single" w:sz="8" w:color="auto"/>
            </w:tcBorders>
            <w:gridSpan w:val="4"/>
          </w:tcPr>
          <w:p>
            <w:pPr>
              <w:jc w:val="right"/>
              <w:ind w:right="190"/>
              <w:spacing w:after="0"/>
              <w:rPr>
                <w:sz w:val="20"/>
                <w:szCs w:val="20"/>
                <w:color w:val="auto"/>
              </w:rPr>
            </w:pPr>
            <w:r>
              <w:rPr>
                <w:rFonts w:ascii="Arial" w:cs="Arial" w:eastAsia="Arial" w:hAnsi="Arial"/>
                <w:sz w:val="18"/>
                <w:szCs w:val="18"/>
                <w:b w:val="1"/>
                <w:bCs w:val="1"/>
                <w:color w:val="auto"/>
                <w:w w:val="98"/>
              </w:rPr>
              <w:t>Restricted Stock Units and Awards</w:t>
            </w:r>
          </w:p>
        </w:tc>
        <w:tc>
          <w:tcPr>
            <w:tcW w:w="100" w:type="dxa"/>
            <w:vAlign w:val="bottom"/>
          </w:tcPr>
          <w:p>
            <w:pPr>
              <w:spacing w:after="0"/>
              <w:rPr>
                <w:sz w:val="20"/>
                <w:szCs w:val="20"/>
                <w:color w:val="auto"/>
              </w:rPr>
            </w:pPr>
          </w:p>
        </w:tc>
        <w:tc>
          <w:tcPr>
            <w:tcW w:w="3240" w:type="dxa"/>
            <w:vAlign w:val="bottom"/>
            <w:tcBorders>
              <w:bottom w:val="single" w:sz="8" w:color="auto"/>
            </w:tcBorders>
            <w:gridSpan w:val="4"/>
          </w:tcPr>
          <w:p>
            <w:pPr>
              <w:jc w:val="right"/>
              <w:ind w:right="550"/>
              <w:spacing w:after="0"/>
              <w:rPr>
                <w:sz w:val="20"/>
                <w:szCs w:val="20"/>
                <w:color w:val="auto"/>
              </w:rPr>
            </w:pPr>
            <w:r>
              <w:rPr>
                <w:rFonts w:ascii="Arial" w:cs="Arial" w:eastAsia="Arial" w:hAnsi="Arial"/>
                <w:sz w:val="18"/>
                <w:szCs w:val="18"/>
                <w:b w:val="1"/>
                <w:bCs w:val="1"/>
                <w:color w:val="auto"/>
              </w:rPr>
              <w:t>Performance Share Units</w:t>
            </w:r>
          </w:p>
        </w:tc>
        <w:tc>
          <w:tcPr>
            <w:tcW w:w="0" w:type="dxa"/>
            <w:vAlign w:val="bottom"/>
          </w:tcPr>
          <w:p>
            <w:pPr>
              <w:spacing w:after="0"/>
              <w:rPr>
                <w:sz w:val="1"/>
                <w:szCs w:val="1"/>
                <w:color w:val="auto"/>
              </w:rPr>
            </w:pPr>
          </w:p>
        </w:tc>
      </w:tr>
      <w:tr>
        <w:trPr>
          <w:trHeight w:val="175"/>
        </w:trPr>
        <w:tc>
          <w:tcPr>
            <w:tcW w:w="4660" w:type="dxa"/>
            <w:vAlign w:val="bottom"/>
          </w:tcPr>
          <w:p>
            <w:pPr>
              <w:spacing w:after="0"/>
              <w:rPr>
                <w:sz w:val="15"/>
                <w:szCs w:val="15"/>
                <w:color w:val="auto"/>
              </w:rPr>
            </w:pPr>
          </w:p>
        </w:tc>
        <w:tc>
          <w:tcPr>
            <w:tcW w:w="1560" w:type="dxa"/>
            <w:vAlign w:val="bottom"/>
            <w:vMerge w:val="restart"/>
          </w:tcPr>
          <w:p>
            <w:pPr>
              <w:jc w:val="right"/>
              <w:ind w:right="430"/>
              <w:spacing w:after="0"/>
              <w:rPr>
                <w:sz w:val="20"/>
                <w:szCs w:val="20"/>
                <w:color w:val="auto"/>
              </w:rPr>
            </w:pPr>
            <w:r>
              <w:rPr>
                <w:rFonts w:ascii="Arial" w:cs="Arial" w:eastAsia="Arial" w:hAnsi="Arial"/>
                <w:sz w:val="18"/>
                <w:szCs w:val="18"/>
                <w:b w:val="1"/>
                <w:bCs w:val="1"/>
                <w:color w:val="auto"/>
              </w:rPr>
              <w:t>Shares</w:t>
            </w:r>
          </w:p>
        </w:tc>
        <w:tc>
          <w:tcPr>
            <w:tcW w:w="120" w:type="dxa"/>
            <w:vAlign w:val="bottom"/>
          </w:tcPr>
          <w:p>
            <w:pPr>
              <w:spacing w:after="0"/>
              <w:rPr>
                <w:sz w:val="15"/>
                <w:szCs w:val="15"/>
                <w:color w:val="auto"/>
              </w:rPr>
            </w:pPr>
          </w:p>
        </w:tc>
        <w:tc>
          <w:tcPr>
            <w:tcW w:w="1560" w:type="dxa"/>
            <w:vAlign w:val="bottom"/>
            <w:gridSpan w:val="2"/>
          </w:tcPr>
          <w:p>
            <w:pPr>
              <w:jc w:val="center"/>
              <w:spacing w:after="0" w:line="176" w:lineRule="exact"/>
              <w:rPr>
                <w:sz w:val="20"/>
                <w:szCs w:val="20"/>
                <w:color w:val="auto"/>
              </w:rPr>
            </w:pPr>
            <w:r>
              <w:rPr>
                <w:rFonts w:ascii="Arial" w:cs="Arial" w:eastAsia="Arial" w:hAnsi="Arial"/>
                <w:sz w:val="18"/>
                <w:szCs w:val="18"/>
                <w:b w:val="1"/>
                <w:bCs w:val="1"/>
                <w:color w:val="auto"/>
                <w:w w:val="89"/>
              </w:rPr>
              <w:t>Weighted-Average</w:t>
            </w:r>
          </w:p>
        </w:tc>
        <w:tc>
          <w:tcPr>
            <w:tcW w:w="100" w:type="dxa"/>
            <w:vAlign w:val="bottom"/>
          </w:tcPr>
          <w:p>
            <w:pPr>
              <w:spacing w:after="0"/>
              <w:rPr>
                <w:sz w:val="15"/>
                <w:szCs w:val="15"/>
                <w:color w:val="auto"/>
              </w:rPr>
            </w:pPr>
          </w:p>
        </w:tc>
        <w:tc>
          <w:tcPr>
            <w:tcW w:w="1560" w:type="dxa"/>
            <w:vAlign w:val="bottom"/>
            <w:vMerge w:val="restart"/>
          </w:tcPr>
          <w:p>
            <w:pPr>
              <w:jc w:val="right"/>
              <w:ind w:right="430"/>
              <w:spacing w:after="0"/>
              <w:rPr>
                <w:sz w:val="20"/>
                <w:szCs w:val="20"/>
                <w:color w:val="auto"/>
              </w:rPr>
            </w:pPr>
            <w:r>
              <w:rPr>
                <w:rFonts w:ascii="Arial" w:cs="Arial" w:eastAsia="Arial" w:hAnsi="Arial"/>
                <w:sz w:val="18"/>
                <w:szCs w:val="18"/>
                <w:b w:val="1"/>
                <w:bCs w:val="1"/>
                <w:color w:val="auto"/>
              </w:rPr>
              <w:t>Shares</w:t>
            </w:r>
          </w:p>
        </w:tc>
        <w:tc>
          <w:tcPr>
            <w:tcW w:w="120" w:type="dxa"/>
            <w:vAlign w:val="bottom"/>
          </w:tcPr>
          <w:p>
            <w:pPr>
              <w:spacing w:after="0"/>
              <w:rPr>
                <w:sz w:val="15"/>
                <w:szCs w:val="15"/>
                <w:color w:val="auto"/>
              </w:rPr>
            </w:pPr>
          </w:p>
        </w:tc>
        <w:tc>
          <w:tcPr>
            <w:tcW w:w="1560" w:type="dxa"/>
            <w:vAlign w:val="bottom"/>
            <w:gridSpan w:val="2"/>
          </w:tcPr>
          <w:p>
            <w:pPr>
              <w:jc w:val="center"/>
              <w:spacing w:after="0" w:line="176" w:lineRule="exact"/>
              <w:rPr>
                <w:sz w:val="20"/>
                <w:szCs w:val="20"/>
                <w:color w:val="auto"/>
              </w:rPr>
            </w:pPr>
            <w:r>
              <w:rPr>
                <w:rFonts w:ascii="Arial" w:cs="Arial" w:eastAsia="Arial" w:hAnsi="Arial"/>
                <w:sz w:val="18"/>
                <w:szCs w:val="18"/>
                <w:b w:val="1"/>
                <w:bCs w:val="1"/>
                <w:color w:val="auto"/>
                <w:w w:val="88"/>
              </w:rPr>
              <w:t>Weighted-Average</w:t>
            </w:r>
          </w:p>
        </w:tc>
        <w:tc>
          <w:tcPr>
            <w:tcW w:w="0" w:type="dxa"/>
            <w:vAlign w:val="bottom"/>
          </w:tcPr>
          <w:p>
            <w:pPr>
              <w:spacing w:after="0"/>
              <w:rPr>
                <w:sz w:val="1"/>
                <w:szCs w:val="1"/>
                <w:color w:val="auto"/>
              </w:rPr>
            </w:pPr>
          </w:p>
        </w:tc>
      </w:tr>
      <w:tr>
        <w:trPr>
          <w:trHeight w:val="176"/>
        </w:trPr>
        <w:tc>
          <w:tcPr>
            <w:tcW w:w="4660" w:type="dxa"/>
            <w:vAlign w:val="bottom"/>
          </w:tcPr>
          <w:p>
            <w:pPr>
              <w:spacing w:after="0"/>
              <w:rPr>
                <w:sz w:val="15"/>
                <w:szCs w:val="15"/>
                <w:color w:val="auto"/>
              </w:rPr>
            </w:pPr>
          </w:p>
        </w:tc>
        <w:tc>
          <w:tcPr>
            <w:tcW w:w="15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tcPr>
          <w:p>
            <w:pPr>
              <w:jc w:val="center"/>
              <w:ind w:right="50"/>
              <w:spacing w:after="0" w:line="176" w:lineRule="exact"/>
              <w:rPr>
                <w:sz w:val="20"/>
                <w:szCs w:val="20"/>
                <w:color w:val="auto"/>
              </w:rPr>
            </w:pPr>
            <w:r>
              <w:rPr>
                <w:rFonts w:ascii="Arial" w:cs="Arial" w:eastAsia="Arial" w:hAnsi="Arial"/>
                <w:sz w:val="18"/>
                <w:szCs w:val="18"/>
                <w:b w:val="1"/>
                <w:bCs w:val="1"/>
                <w:color w:val="auto"/>
                <w:w w:val="96"/>
              </w:rPr>
              <w:t>Grant Date Fair</w:t>
            </w:r>
          </w:p>
        </w:tc>
        <w:tc>
          <w:tcPr>
            <w:tcW w:w="100" w:type="dxa"/>
            <w:vAlign w:val="bottom"/>
          </w:tcPr>
          <w:p>
            <w:pPr>
              <w:spacing w:after="0"/>
              <w:rPr>
                <w:sz w:val="15"/>
                <w:szCs w:val="15"/>
                <w:color w:val="auto"/>
              </w:rPr>
            </w:pPr>
          </w:p>
        </w:tc>
        <w:tc>
          <w:tcPr>
            <w:tcW w:w="15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tcPr>
          <w:p>
            <w:pPr>
              <w:jc w:val="center"/>
              <w:ind w:right="30"/>
              <w:spacing w:after="0" w:line="176" w:lineRule="exact"/>
              <w:rPr>
                <w:sz w:val="20"/>
                <w:szCs w:val="20"/>
                <w:color w:val="auto"/>
              </w:rPr>
            </w:pPr>
            <w:r>
              <w:rPr>
                <w:rFonts w:ascii="Arial" w:cs="Arial" w:eastAsia="Arial" w:hAnsi="Arial"/>
                <w:sz w:val="18"/>
                <w:szCs w:val="18"/>
                <w:b w:val="1"/>
                <w:bCs w:val="1"/>
                <w:color w:val="auto"/>
                <w:w w:val="95"/>
              </w:rPr>
              <w:t>Grant Date Fair</w:t>
            </w:r>
          </w:p>
        </w:tc>
        <w:tc>
          <w:tcPr>
            <w:tcW w:w="0" w:type="dxa"/>
            <w:vAlign w:val="bottom"/>
          </w:tcPr>
          <w:p>
            <w:pPr>
              <w:spacing w:after="0"/>
              <w:rPr>
                <w:sz w:val="1"/>
                <w:szCs w:val="1"/>
                <w:color w:val="auto"/>
              </w:rPr>
            </w:pPr>
          </w:p>
        </w:tc>
      </w:tr>
      <w:tr>
        <w:trPr>
          <w:trHeight w:val="239"/>
        </w:trPr>
        <w:tc>
          <w:tcPr>
            <w:tcW w:w="4660" w:type="dxa"/>
            <w:vAlign w:val="bottom"/>
            <w:tcBorders>
              <w:bottom w:val="single" w:sz="8" w:color="CCEEFF"/>
            </w:tcBorders>
          </w:tcPr>
          <w:p>
            <w:pPr>
              <w:spacing w:after="0"/>
              <w:rPr>
                <w:sz w:val="20"/>
                <w:szCs w:val="20"/>
                <w:color w:val="auto"/>
              </w:rPr>
            </w:pPr>
          </w:p>
        </w:tc>
        <w:tc>
          <w:tcPr>
            <w:tcW w:w="15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(In thousands)</w:t>
            </w: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1"/>
              </w:rPr>
              <w:t>Value</w:t>
            </w:r>
          </w:p>
        </w:tc>
        <w:tc>
          <w:tcPr>
            <w:tcW w:w="100" w:type="dxa"/>
            <w:vAlign w:val="bottom"/>
            <w:tcBorders>
              <w:bottom w:val="single" w:sz="8" w:color="CCEEFF"/>
            </w:tcBorders>
          </w:tcPr>
          <w:p>
            <w:pPr>
              <w:spacing w:after="0"/>
              <w:rPr>
                <w:sz w:val="20"/>
                <w:szCs w:val="20"/>
                <w:color w:val="auto"/>
              </w:rPr>
            </w:pPr>
          </w:p>
        </w:tc>
        <w:tc>
          <w:tcPr>
            <w:tcW w:w="15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(In thousands)</w:t>
            </w: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1"/>
              </w:rPr>
              <w:t>Value</w:t>
            </w:r>
          </w:p>
        </w:tc>
        <w:tc>
          <w:tcPr>
            <w:tcW w:w="0" w:type="dxa"/>
            <w:vAlign w:val="bottom"/>
          </w:tcPr>
          <w:p>
            <w:pPr>
              <w:spacing w:after="0"/>
              <w:rPr>
                <w:sz w:val="1"/>
                <w:szCs w:val="1"/>
                <w:color w:val="auto"/>
              </w:rPr>
            </w:pPr>
          </w:p>
        </w:tc>
      </w:tr>
      <w:tr>
        <w:trPr>
          <w:trHeight w:val="227"/>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Units and awards - December 31, 2022</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96.88</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100.93</w:t>
            </w:r>
          </w:p>
        </w:tc>
        <w:tc>
          <w:tcPr>
            <w:tcW w:w="0" w:type="dxa"/>
            <w:vAlign w:val="bottom"/>
          </w:tcPr>
          <w:p>
            <w:pPr>
              <w:spacing w:after="0"/>
              <w:rPr>
                <w:sz w:val="1"/>
                <w:szCs w:val="1"/>
                <w:color w:val="auto"/>
              </w:rPr>
            </w:pPr>
          </w:p>
        </w:tc>
      </w:tr>
      <w:tr>
        <w:trPr>
          <w:trHeight w:val="229"/>
        </w:trPr>
        <w:tc>
          <w:tcPr>
            <w:tcW w:w="4660" w:type="dxa"/>
            <w:vAlign w:val="bottom"/>
          </w:tcPr>
          <w:p>
            <w:pPr>
              <w:ind w:left="140"/>
              <w:spacing w:after="0"/>
              <w:rPr>
                <w:sz w:val="20"/>
                <w:szCs w:val="20"/>
                <w:color w:val="auto"/>
              </w:rPr>
            </w:pPr>
            <w:r>
              <w:rPr>
                <w:rFonts w:ascii="Arial" w:cs="Arial" w:eastAsia="Arial" w:hAnsi="Arial"/>
                <w:sz w:val="18"/>
                <w:szCs w:val="18"/>
                <w:color w:val="auto"/>
              </w:rPr>
              <w:t>Granted</w:t>
            </w:r>
          </w:p>
        </w:tc>
        <w:tc>
          <w:tcPr>
            <w:tcW w:w="1560" w:type="dxa"/>
            <w:vAlign w:val="bottom"/>
          </w:tcPr>
          <w:p>
            <w:pPr>
              <w:jc w:val="right"/>
              <w:spacing w:after="0"/>
              <w:rPr>
                <w:sz w:val="20"/>
                <w:szCs w:val="20"/>
                <w:color w:val="auto"/>
              </w:rPr>
            </w:pPr>
            <w:r>
              <w:rPr>
                <w:rFonts w:ascii="Arial" w:cs="Arial" w:eastAsia="Arial" w:hAnsi="Arial"/>
                <w:sz w:val="18"/>
                <w:szCs w:val="18"/>
                <w:color w:val="auto"/>
              </w:rPr>
              <w:t>2,423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112.99</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359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129.68</w:t>
            </w:r>
          </w:p>
        </w:tc>
        <w:tc>
          <w:tcPr>
            <w:tcW w:w="0" w:type="dxa"/>
            <w:vAlign w:val="bottom"/>
          </w:tcPr>
          <w:p>
            <w:pPr>
              <w:spacing w:after="0"/>
              <w:rPr>
                <w:sz w:val="1"/>
                <w:szCs w:val="1"/>
                <w:color w:val="auto"/>
              </w:rPr>
            </w:pPr>
          </w:p>
        </w:tc>
      </w:tr>
      <w:tr>
        <w:trPr>
          <w:trHeight w:val="243"/>
        </w:trPr>
        <w:tc>
          <w:tcPr>
            <w:tcW w:w="4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Forfeited</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100.60</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101.00</w:t>
            </w:r>
          </w:p>
        </w:tc>
        <w:tc>
          <w:tcPr>
            <w:tcW w:w="0" w:type="dxa"/>
            <w:vAlign w:val="bottom"/>
          </w:tcPr>
          <w:p>
            <w:pPr>
              <w:spacing w:after="0"/>
              <w:rPr>
                <w:sz w:val="1"/>
                <w:szCs w:val="1"/>
                <w:color w:val="auto"/>
              </w:rPr>
            </w:pPr>
          </w:p>
        </w:tc>
      </w:tr>
      <w:tr>
        <w:trPr>
          <w:trHeight w:val="229"/>
        </w:trPr>
        <w:tc>
          <w:tcPr>
            <w:tcW w:w="4660" w:type="dxa"/>
            <w:vAlign w:val="bottom"/>
          </w:tcPr>
          <w:p>
            <w:pPr>
              <w:ind w:left="140"/>
              <w:spacing w:after="0"/>
              <w:rPr>
                <w:sz w:val="20"/>
                <w:szCs w:val="20"/>
                <w:color w:val="auto"/>
              </w:rPr>
            </w:pPr>
            <w:r>
              <w:rPr>
                <w:rFonts w:ascii="Arial" w:cs="Arial" w:eastAsia="Arial" w:hAnsi="Arial"/>
                <w:sz w:val="18"/>
                <w:szCs w:val="18"/>
                <w:color w:val="auto"/>
              </w:rPr>
              <w:t>Vested</w:t>
            </w:r>
          </w:p>
        </w:tc>
        <w:tc>
          <w:tcPr>
            <w:tcW w:w="1560" w:type="dxa"/>
            <w:vAlign w:val="bottom"/>
          </w:tcPr>
          <w:p>
            <w:pPr>
              <w:jc w:val="right"/>
              <w:spacing w:after="0"/>
              <w:rPr>
                <w:sz w:val="20"/>
                <w:szCs w:val="20"/>
                <w:color w:val="auto"/>
              </w:rPr>
            </w:pPr>
            <w:r>
              <w:rPr>
                <w:rFonts w:ascii="Arial" w:cs="Arial" w:eastAsia="Arial" w:hAnsi="Arial"/>
                <w:sz w:val="18"/>
                <w:szCs w:val="18"/>
                <w:color w:val="auto"/>
              </w:rPr>
              <w:t>(1,983)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98.73</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95.29</w:t>
            </w:r>
          </w:p>
        </w:tc>
        <w:tc>
          <w:tcPr>
            <w:tcW w:w="0" w:type="dxa"/>
            <w:vAlign w:val="bottom"/>
          </w:tcPr>
          <w:p>
            <w:pPr>
              <w:spacing w:after="0"/>
              <w:rPr>
                <w:sz w:val="1"/>
                <w:szCs w:val="1"/>
                <w:color w:val="auto"/>
              </w:rPr>
            </w:pPr>
          </w:p>
        </w:tc>
      </w:tr>
      <w:tr>
        <w:trPr>
          <w:trHeight w:val="248"/>
        </w:trPr>
        <w:tc>
          <w:tcPr>
            <w:tcW w:w="4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Units and awards - June 30, 2023</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5,731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102.88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103.66</w:t>
            </w: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A summary of stock option activity during the six months ended June 30, 2023 is as follows: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jc w:val="center"/>
              <w:spacing w:after="0"/>
              <w:rPr>
                <w:sz w:val="20"/>
                <w:szCs w:val="20"/>
                <w:color w:val="auto"/>
              </w:rPr>
            </w:pPr>
            <w:r>
              <w:rPr>
                <w:rFonts w:ascii="Arial" w:cs="Arial" w:eastAsia="Arial" w:hAnsi="Arial"/>
                <w:sz w:val="18"/>
                <w:szCs w:val="18"/>
                <w:b w:val="1"/>
                <w:bCs w:val="1"/>
                <w:color w:val="auto"/>
                <w:w w:val="89"/>
              </w:rPr>
              <w:t>Weighted-Average</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46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Pr>
          <w:p>
            <w:pPr>
              <w:jc w:val="center"/>
              <w:spacing w:after="0" w:line="184" w:lineRule="exact"/>
              <w:rPr>
                <w:sz w:val="20"/>
                <w:szCs w:val="20"/>
                <w:color w:val="auto"/>
              </w:rPr>
            </w:pPr>
            <w:r>
              <w:rPr>
                <w:rFonts w:ascii="Arial" w:cs="Arial" w:eastAsia="Arial" w:hAnsi="Arial"/>
                <w:sz w:val="18"/>
                <w:szCs w:val="18"/>
                <w:b w:val="1"/>
                <w:bCs w:val="1"/>
                <w:color w:val="auto"/>
                <w:w w:val="91"/>
              </w:rPr>
              <w:t>Remaining</w:t>
            </w: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4640" w:type="dxa"/>
            <w:vAlign w:val="bottom"/>
          </w:tcPr>
          <w:p>
            <w:pPr>
              <w:spacing w:after="0"/>
              <w:rPr>
                <w:sz w:val="15"/>
                <w:szCs w:val="15"/>
                <w:color w:val="auto"/>
              </w:rPr>
            </w:pPr>
          </w:p>
        </w:tc>
        <w:tc>
          <w:tcPr>
            <w:tcW w:w="1560" w:type="dxa"/>
            <w:vAlign w:val="bottom"/>
          </w:tcPr>
          <w:p>
            <w:pPr>
              <w:jc w:val="right"/>
              <w:ind w:right="430"/>
              <w:spacing w:after="0" w:line="181" w:lineRule="exact"/>
              <w:rPr>
                <w:sz w:val="20"/>
                <w:szCs w:val="20"/>
                <w:color w:val="auto"/>
              </w:rPr>
            </w:pPr>
            <w:r>
              <w:rPr>
                <w:rFonts w:ascii="Arial" w:cs="Arial" w:eastAsia="Arial" w:hAnsi="Arial"/>
                <w:sz w:val="18"/>
                <w:szCs w:val="18"/>
                <w:b w:val="1"/>
                <w:bCs w:val="1"/>
                <w:color w:val="auto"/>
              </w:rPr>
              <w:t>Shares</w:t>
            </w:r>
          </w:p>
        </w:tc>
        <w:tc>
          <w:tcPr>
            <w:tcW w:w="120" w:type="dxa"/>
            <w:vAlign w:val="bottom"/>
          </w:tcPr>
          <w:p>
            <w:pPr>
              <w:spacing w:after="0"/>
              <w:rPr>
                <w:sz w:val="15"/>
                <w:szCs w:val="15"/>
                <w:color w:val="auto"/>
              </w:rPr>
            </w:pPr>
          </w:p>
        </w:tc>
        <w:tc>
          <w:tcPr>
            <w:tcW w:w="1560" w:type="dxa"/>
            <w:vAlign w:val="bottom"/>
            <w:gridSpan w:val="2"/>
          </w:tcPr>
          <w:p>
            <w:pPr>
              <w:jc w:val="right"/>
              <w:spacing w:after="0" w:line="181" w:lineRule="exact"/>
              <w:rPr>
                <w:sz w:val="20"/>
                <w:szCs w:val="20"/>
                <w:color w:val="auto"/>
              </w:rPr>
            </w:pPr>
            <w:r>
              <w:rPr>
                <w:rFonts w:ascii="Arial" w:cs="Arial" w:eastAsia="Arial" w:hAnsi="Arial"/>
                <w:sz w:val="18"/>
                <w:szCs w:val="18"/>
                <w:b w:val="1"/>
                <w:bCs w:val="1"/>
                <w:color w:val="auto"/>
                <w:w w:val="92"/>
              </w:rPr>
              <w:t>Weighted-Average</w:t>
            </w:r>
          </w:p>
        </w:tc>
        <w:tc>
          <w:tcPr>
            <w:tcW w:w="100" w:type="dxa"/>
            <w:vAlign w:val="bottom"/>
          </w:tcPr>
          <w:p>
            <w:pPr>
              <w:spacing w:after="0"/>
              <w:rPr>
                <w:sz w:val="15"/>
                <w:szCs w:val="15"/>
                <w:color w:val="auto"/>
              </w:rPr>
            </w:pPr>
          </w:p>
        </w:tc>
        <w:tc>
          <w:tcPr>
            <w:tcW w:w="1580" w:type="dxa"/>
            <w:vAlign w:val="bottom"/>
          </w:tcPr>
          <w:p>
            <w:pPr>
              <w:jc w:val="center"/>
              <w:spacing w:after="0" w:line="181" w:lineRule="exact"/>
              <w:rPr>
                <w:sz w:val="20"/>
                <w:szCs w:val="20"/>
                <w:color w:val="auto"/>
              </w:rPr>
            </w:pPr>
            <w:r>
              <w:rPr>
                <w:rFonts w:ascii="Arial" w:cs="Arial" w:eastAsia="Arial" w:hAnsi="Arial"/>
                <w:sz w:val="18"/>
                <w:szCs w:val="18"/>
                <w:b w:val="1"/>
                <w:bCs w:val="1"/>
                <w:color w:val="auto"/>
                <w:w w:val="92"/>
              </w:rPr>
              <w:t>Contractual Term</w:t>
            </w:r>
          </w:p>
        </w:tc>
        <w:tc>
          <w:tcPr>
            <w:tcW w:w="100" w:type="dxa"/>
            <w:vAlign w:val="bottom"/>
          </w:tcPr>
          <w:p>
            <w:pPr>
              <w:spacing w:after="0"/>
              <w:rPr>
                <w:sz w:val="15"/>
                <w:szCs w:val="15"/>
                <w:color w:val="auto"/>
              </w:rPr>
            </w:pPr>
          </w:p>
        </w:tc>
        <w:tc>
          <w:tcPr>
            <w:tcW w:w="1580" w:type="dxa"/>
            <w:vAlign w:val="bottom"/>
            <w:gridSpan w:val="2"/>
          </w:tcPr>
          <w:p>
            <w:pPr>
              <w:jc w:val="right"/>
              <w:spacing w:after="0" w:line="181" w:lineRule="exact"/>
              <w:rPr>
                <w:sz w:val="20"/>
                <w:szCs w:val="20"/>
                <w:color w:val="auto"/>
              </w:rPr>
            </w:pPr>
            <w:r>
              <w:rPr>
                <w:rFonts w:ascii="Arial" w:cs="Arial" w:eastAsia="Arial" w:hAnsi="Arial"/>
                <w:sz w:val="18"/>
                <w:szCs w:val="18"/>
                <w:b w:val="1"/>
                <w:bCs w:val="1"/>
                <w:color w:val="auto"/>
                <w:w w:val="92"/>
              </w:rPr>
              <w:t>Aggregate Intrinsic</w:t>
            </w:r>
          </w:p>
        </w:tc>
        <w:tc>
          <w:tcPr>
            <w:tcW w:w="0" w:type="dxa"/>
            <w:vAlign w:val="bottom"/>
          </w:tcPr>
          <w:p>
            <w:pPr>
              <w:spacing w:after="0"/>
              <w:rPr>
                <w:sz w:val="1"/>
                <w:szCs w:val="1"/>
                <w:color w:val="auto"/>
              </w:rPr>
            </w:pPr>
          </w:p>
        </w:tc>
      </w:tr>
      <w:tr>
        <w:trPr>
          <w:trHeight w:val="229"/>
        </w:trPr>
        <w:tc>
          <w:tcPr>
            <w:tcW w:w="4640" w:type="dxa"/>
            <w:vAlign w:val="bottom"/>
          </w:tcPr>
          <w:p>
            <w:pPr>
              <w:spacing w:after="0"/>
              <w:rPr>
                <w:sz w:val="19"/>
                <w:szCs w:val="19"/>
                <w:color w:val="auto"/>
              </w:rPr>
            </w:pPr>
          </w:p>
        </w:tc>
        <w:tc>
          <w:tcPr>
            <w:tcW w:w="15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(In thousands)</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2"/>
              </w:rPr>
              <w:t>Exercise Price</w:t>
            </w:r>
          </w:p>
        </w:tc>
        <w:tc>
          <w:tcPr>
            <w:tcW w:w="100" w:type="dxa"/>
            <w:vAlign w:val="bottom"/>
          </w:tcPr>
          <w:p>
            <w:pPr>
              <w:spacing w:after="0"/>
              <w:rPr>
                <w:sz w:val="19"/>
                <w:szCs w:val="19"/>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(Years)</w:t>
            </w:r>
          </w:p>
        </w:tc>
        <w:tc>
          <w:tcPr>
            <w:tcW w:w="100" w:type="dxa"/>
            <w:vAlign w:val="bottom"/>
          </w:tcPr>
          <w:p>
            <w:pPr>
              <w:spacing w:after="0"/>
              <w:rPr>
                <w:sz w:val="19"/>
                <w:szCs w:val="19"/>
                <w:color w:val="auto"/>
              </w:rPr>
            </w:pPr>
          </w:p>
        </w:tc>
        <w:tc>
          <w:tcPr>
            <w:tcW w:w="1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6"/>
              </w:rPr>
              <w:t>Value (In millions)</w:t>
            </w:r>
          </w:p>
        </w:tc>
        <w:tc>
          <w:tcPr>
            <w:tcW w:w="0" w:type="dxa"/>
            <w:vAlign w:val="bottom"/>
          </w:tcPr>
          <w:p>
            <w:pPr>
              <w:spacing w:after="0"/>
              <w:rPr>
                <w:sz w:val="1"/>
                <w:szCs w:val="1"/>
                <w:color w:val="auto"/>
              </w:rPr>
            </w:pPr>
          </w:p>
        </w:tc>
      </w:tr>
      <w:tr>
        <w:trPr>
          <w:trHeight w:val="237"/>
        </w:trPr>
        <w:tc>
          <w:tcPr>
            <w:tcW w:w="4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options outstanding - December 31, 2022</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6,336</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62.91</w:t>
            </w:r>
          </w:p>
        </w:tc>
        <w:tc>
          <w:tcPr>
            <w:tcW w:w="10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640" w:type="dxa"/>
            <w:vAlign w:val="bottom"/>
          </w:tcPr>
          <w:p>
            <w:pPr>
              <w:ind w:left="140"/>
              <w:spacing w:after="0"/>
              <w:rPr>
                <w:sz w:val="20"/>
                <w:szCs w:val="20"/>
                <w:color w:val="auto"/>
              </w:rPr>
            </w:pPr>
            <w:r>
              <w:rPr>
                <w:rFonts w:ascii="Arial" w:cs="Arial" w:eastAsia="Arial" w:hAnsi="Arial"/>
                <w:sz w:val="18"/>
                <w:szCs w:val="18"/>
                <w:color w:val="auto"/>
              </w:rPr>
              <w:t>Granted</w:t>
            </w: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Forfeited</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112.83</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6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Exercised</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(1,903)</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44.02</w:t>
            </w:r>
          </w:p>
        </w:tc>
        <w:tc>
          <w:tcPr>
            <w:tcW w:w="100" w:type="dxa"/>
            <w:vAlign w:val="bottom"/>
            <w:tcBorders>
              <w:bottom w:val="single" w:sz="8" w:color="CCEEFF"/>
            </w:tcBorders>
          </w:tcPr>
          <w:p>
            <w:pPr>
              <w:spacing w:after="0"/>
              <w:rPr>
                <w:sz w:val="20"/>
                <w:szCs w:val="20"/>
                <w:color w:val="auto"/>
              </w:rPr>
            </w:pPr>
          </w:p>
        </w:tc>
        <w:tc>
          <w:tcPr>
            <w:tcW w:w="158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4"/>
        </w:trPr>
        <w:tc>
          <w:tcPr>
            <w:tcW w:w="4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 options outstanding - June 30, 2023</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70.72</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20"/>
        </w:trPr>
        <w:tc>
          <w:tcPr>
            <w:tcW w:w="4640" w:type="dxa"/>
            <w:vAlign w:val="bottom"/>
            <w:tcBorders>
              <w:top w:val="single" w:sz="8" w:color="CCEEFF"/>
            </w:tcBorders>
            <w:vMerge w:val="restart"/>
          </w:tcPr>
          <w:p>
            <w:pPr>
              <w:ind w:left="20"/>
              <w:spacing w:after="0"/>
              <w:rPr>
                <w:sz w:val="20"/>
                <w:szCs w:val="20"/>
                <w:color w:val="auto"/>
              </w:rPr>
            </w:pPr>
            <w:r>
              <w:rPr>
                <w:rFonts w:ascii="Arial" w:cs="Arial" w:eastAsia="Arial" w:hAnsi="Arial"/>
                <w:sz w:val="18"/>
                <w:szCs w:val="18"/>
                <w:color w:val="auto"/>
              </w:rPr>
              <w:t>Stock options exercisable - June 30, 2023</w:t>
            </w:r>
          </w:p>
        </w:tc>
        <w:tc>
          <w:tcPr>
            <w:tcW w:w="15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gridSpan w:val="2"/>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tcBorders>
            <w:gridSpan w:val="2"/>
          </w:tcPr>
          <w:p>
            <w:pPr>
              <w:spacing w:after="0" w:line="20" w:lineRule="exact"/>
              <w:rPr>
                <w:sz w:val="1"/>
                <w:szCs w:val="1"/>
                <w:color w:val="auto"/>
              </w:rPr>
            </w:pPr>
          </w:p>
        </w:tc>
        <w:tc>
          <w:tcPr>
            <w:tcW w:w="780" w:type="dxa"/>
            <w:vAlign w:val="bottom"/>
            <w:tcBorders>
              <w:top w:val="single" w:sz="8" w:color="CCEEFF"/>
            </w:tcBorders>
            <w:gridSpan w:val="2"/>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640" w:type="dxa"/>
            <w:vAlign w:val="bottom"/>
            <w:tcBorders>
              <w:top w:val="single" w:sz="8" w:color="CCEEFF"/>
            </w:tcBorders>
            <w:vMerge w:val="continue"/>
          </w:tcPr>
          <w:p>
            <w:pPr>
              <w:spacing w:after="0"/>
              <w:rPr>
                <w:sz w:val="17"/>
                <w:szCs w:val="17"/>
                <w:color w:val="auto"/>
              </w:rPr>
            </w:pPr>
          </w:p>
        </w:tc>
        <w:tc>
          <w:tcPr>
            <w:tcW w:w="15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4,046</w:t>
            </w:r>
          </w:p>
        </w:tc>
        <w:tc>
          <w:tcPr>
            <w:tcW w:w="12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67.10</w:t>
            </w:r>
          </w:p>
        </w:tc>
        <w:tc>
          <w:tcPr>
            <w:tcW w:w="100" w:type="dxa"/>
            <w:vAlign w:val="bottom"/>
          </w:tcPr>
          <w:p>
            <w:pPr>
              <w:spacing w:after="0"/>
              <w:rPr>
                <w:sz w:val="17"/>
                <w:szCs w:val="17"/>
                <w:color w:val="auto"/>
              </w:rPr>
            </w:pPr>
          </w:p>
        </w:tc>
        <w:tc>
          <w:tcPr>
            <w:tcW w:w="15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3.84</w:t>
            </w:r>
          </w:p>
        </w:tc>
        <w:tc>
          <w:tcPr>
            <w:tcW w:w="100" w:type="dxa"/>
            <w:vAlign w:val="bottom"/>
          </w:tcPr>
          <w:p>
            <w:pPr>
              <w:spacing w:after="0"/>
              <w:rPr>
                <w:sz w:val="17"/>
                <w:szCs w:val="17"/>
                <w:color w:val="auto"/>
              </w:rPr>
            </w:pPr>
          </w:p>
        </w:tc>
        <w:tc>
          <w:tcPr>
            <w:tcW w:w="680" w:type="dxa"/>
            <w:vAlign w:val="bottom"/>
            <w:tcBorders>
              <w:top w:val="single" w:sz="8" w:color="auto"/>
              <w:bottom w:val="single" w:sz="8" w:color="auto"/>
            </w:tcBorders>
          </w:tcPr>
          <w:p>
            <w:pPr>
              <w:jc w:val="right"/>
              <w:ind w:right="470"/>
              <w:spacing w:after="0" w:line="203" w:lineRule="exact"/>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1"/>
        </w:trPr>
        <w:tc>
          <w:tcPr>
            <w:tcW w:w="464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Income Taxes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Company’s income tax provision and effective income tax rate were as follows:</w:t>
      </w:r>
    </w:p>
    <w:p>
      <w:pPr>
        <w:spacing w:after="0" w:line="109"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80" w:type="dxa"/>
            <w:vAlign w:val="bottom"/>
            <w:gridSpan w:val="4"/>
          </w:tcPr>
          <w:p>
            <w:pPr>
              <w:jc w:val="center"/>
              <w:ind w:right="270"/>
              <w:spacing w:after="0"/>
              <w:rPr>
                <w:sz w:val="20"/>
                <w:szCs w:val="20"/>
                <w:color w:val="auto"/>
              </w:rPr>
            </w:pPr>
            <w:r>
              <w:rPr>
                <w:rFonts w:ascii="Arial" w:cs="Arial" w:eastAsia="Arial" w:hAnsi="Arial"/>
                <w:sz w:val="18"/>
                <w:szCs w:val="18"/>
                <w:b w:val="1"/>
                <w:bCs w:val="1"/>
                <w:color w:val="auto"/>
                <w:w w:val="92"/>
              </w:rPr>
              <w:t>Three Months Ended</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60" w:type="dxa"/>
            <w:vAlign w:val="bottom"/>
            <w:gridSpan w:val="3"/>
          </w:tcPr>
          <w:p>
            <w:pPr>
              <w:jc w:val="center"/>
              <w:ind w:left="550"/>
              <w:spacing w:after="0"/>
              <w:rPr>
                <w:sz w:val="20"/>
                <w:szCs w:val="20"/>
                <w:color w:val="auto"/>
              </w:rPr>
            </w:pPr>
            <w:r>
              <w:rPr>
                <w:rFonts w:ascii="Arial" w:cs="Arial" w:eastAsia="Arial" w:hAnsi="Arial"/>
                <w:sz w:val="18"/>
                <w:szCs w:val="18"/>
                <w:b w:val="1"/>
                <w:bCs w:val="1"/>
                <w:color w:val="auto"/>
                <w:w w:val="90"/>
              </w:rPr>
              <w:t>Six Months Ended</w:t>
            </w:r>
          </w:p>
        </w:tc>
        <w:tc>
          <w:tcPr>
            <w:tcW w:w="102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3"/>
          </w:tcPr>
          <w:p>
            <w:pPr>
              <w:jc w:val="center"/>
              <w:ind w:left="770"/>
              <w:spacing w:after="0"/>
              <w:rPr>
                <w:sz w:val="20"/>
                <w:szCs w:val="20"/>
                <w:color w:val="auto"/>
              </w:rPr>
            </w:pPr>
            <w:r>
              <w:rPr>
                <w:rFonts w:ascii="Arial" w:cs="Arial" w:eastAsia="Arial" w:hAnsi="Arial"/>
                <w:sz w:val="18"/>
                <w:szCs w:val="18"/>
                <w:b w:val="1"/>
                <w:bCs w:val="1"/>
                <w:color w:val="auto"/>
                <w:w w:val="88"/>
              </w:rPr>
              <w:t>June 30,</w:t>
            </w:r>
          </w:p>
        </w:tc>
        <w:tc>
          <w:tcPr>
            <w:tcW w:w="12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gridSpan w:val="3"/>
          </w:tcPr>
          <w:p>
            <w:pPr>
              <w:jc w:val="center"/>
              <w:ind w:left="570"/>
              <w:spacing w:after="0"/>
              <w:rPr>
                <w:sz w:val="20"/>
                <w:szCs w:val="20"/>
                <w:color w:val="auto"/>
              </w:rPr>
            </w:pPr>
            <w:r>
              <w:rPr>
                <w:rFonts w:ascii="Arial" w:cs="Arial" w:eastAsia="Arial" w:hAnsi="Arial"/>
                <w:sz w:val="18"/>
                <w:szCs w:val="18"/>
                <w:b w:val="1"/>
                <w:bCs w:val="1"/>
                <w:color w:val="auto"/>
                <w:w w:val="88"/>
              </w:rPr>
              <w:t>June 30,</w:t>
            </w:r>
          </w:p>
        </w:tc>
        <w:tc>
          <w:tcPr>
            <w:tcW w:w="1020" w:type="dxa"/>
            <w:vAlign w:val="bottom"/>
            <w:tcBorders>
              <w:bottom w:val="single" w:sz="8" w:color="auto"/>
            </w:tcBorders>
          </w:tcPr>
          <w:p>
            <w:pPr>
              <w:spacing w:after="0"/>
              <w:rPr>
                <w:sz w:val="20"/>
                <w:szCs w:val="20"/>
                <w:color w:val="auto"/>
              </w:rPr>
            </w:pPr>
          </w:p>
        </w:tc>
      </w:tr>
      <w:tr>
        <w:trPr>
          <w:trHeight w:val="196"/>
        </w:trPr>
        <w:tc>
          <w:tcPr>
            <w:tcW w:w="20" w:type="dxa"/>
            <w:vAlign w:val="bottom"/>
          </w:tcPr>
          <w:p>
            <w:pPr>
              <w:spacing w:after="0"/>
              <w:rPr>
                <w:sz w:val="17"/>
                <w:szCs w:val="17"/>
                <w:color w:val="auto"/>
              </w:rPr>
            </w:pPr>
          </w:p>
        </w:tc>
        <w:tc>
          <w:tcPr>
            <w:tcW w:w="4140" w:type="dxa"/>
            <w:vAlign w:val="bottom"/>
            <w:gridSpan w:val="2"/>
          </w:tcPr>
          <w:p>
            <w:pPr>
              <w:spacing w:after="0"/>
              <w:rPr>
                <w:sz w:val="20"/>
                <w:szCs w:val="20"/>
                <w:color w:val="auto"/>
              </w:rPr>
            </w:pPr>
            <w:r>
              <w:rPr>
                <w:rFonts w:ascii="Arial" w:cs="Arial" w:eastAsia="Arial" w:hAnsi="Arial"/>
                <w:sz w:val="16"/>
                <w:szCs w:val="16"/>
                <w:b w:val="1"/>
                <w:bCs w:val="1"/>
                <w:color w:val="auto"/>
              </w:rPr>
              <w:t>(In millions)</w:t>
            </w:r>
          </w:p>
        </w:tc>
        <w:tc>
          <w:tcPr>
            <w:tcW w:w="380" w:type="dxa"/>
            <w:vAlign w:val="bottom"/>
          </w:tcPr>
          <w:p>
            <w:pPr>
              <w:spacing w:after="0"/>
              <w:rPr>
                <w:sz w:val="17"/>
                <w:szCs w:val="17"/>
                <w:color w:val="auto"/>
              </w:rPr>
            </w:pPr>
          </w:p>
        </w:tc>
        <w:tc>
          <w:tcPr>
            <w:tcW w:w="1300" w:type="dxa"/>
            <w:vAlign w:val="bottom"/>
          </w:tcPr>
          <w:p>
            <w:pPr>
              <w:jc w:val="right"/>
              <w:ind w:right="570"/>
              <w:spacing w:after="0" w:line="196" w:lineRule="exact"/>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20" w:type="dxa"/>
            <w:vAlign w:val="bottom"/>
          </w:tcPr>
          <w:p>
            <w:pPr>
              <w:jc w:val="right"/>
              <w:ind w:right="570"/>
              <w:spacing w:after="0" w:line="196" w:lineRule="exact"/>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jc w:val="right"/>
              <w:ind w:right="570"/>
              <w:spacing w:after="0" w:line="196" w:lineRule="exact"/>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20" w:type="dxa"/>
            <w:vAlign w:val="bottom"/>
          </w:tcPr>
          <w:p>
            <w:pPr>
              <w:jc w:val="right"/>
              <w:ind w:right="570"/>
              <w:spacing w:after="0" w:line="196" w:lineRule="exact"/>
              <w:rPr>
                <w:sz w:val="20"/>
                <w:szCs w:val="20"/>
                <w:color w:val="auto"/>
              </w:rPr>
            </w:pPr>
            <w:r>
              <w:rPr>
                <w:rFonts w:ascii="Arial" w:cs="Arial" w:eastAsia="Arial" w:hAnsi="Arial"/>
                <w:sz w:val="18"/>
                <w:szCs w:val="18"/>
                <w:b w:val="1"/>
                <w:bCs w:val="1"/>
                <w:color w:val="auto"/>
                <w:w w:val="84"/>
              </w:rPr>
              <w:t>2022</w:t>
            </w:r>
          </w:p>
        </w:tc>
      </w:tr>
      <w:tr>
        <w:trPr>
          <w:trHeight w:val="20"/>
        </w:trPr>
        <w:tc>
          <w:tcPr>
            <w:tcW w:w="20" w:type="dxa"/>
            <w:vAlign w:val="bottom"/>
          </w:tcPr>
          <w:p>
            <w:pPr>
              <w:spacing w:after="0" w:line="20" w:lineRule="exact"/>
              <w:rPr>
                <w:sz w:val="1"/>
                <w:szCs w:val="1"/>
                <w:color w:val="auto"/>
              </w:rPr>
            </w:pPr>
          </w:p>
        </w:tc>
        <w:tc>
          <w:tcPr>
            <w:tcW w:w="840" w:type="dxa"/>
            <w:vAlign w:val="bottom"/>
            <w:tcBorders>
              <w:top w:val="single" w:sz="8" w:color="auto"/>
            </w:tcBorders>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 provision</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181</w:t>
            </w:r>
          </w:p>
        </w:tc>
        <w:tc>
          <w:tcPr>
            <w:tcW w:w="5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137</w:t>
            </w:r>
          </w:p>
        </w:tc>
        <w:tc>
          <w:tcPr>
            <w:tcW w:w="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305</w:t>
            </w:r>
          </w:p>
        </w:tc>
        <w:tc>
          <w:tcPr>
            <w:tcW w:w="7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235</w:t>
            </w:r>
          </w:p>
        </w:tc>
      </w:tr>
      <w:tr>
        <w:trPr>
          <w:trHeight w:val="230"/>
        </w:trPr>
        <w:tc>
          <w:tcPr>
            <w:tcW w:w="20" w:type="dxa"/>
            <w:vAlign w:val="bottom"/>
          </w:tcPr>
          <w:p>
            <w:pPr>
              <w:spacing w:after="0"/>
              <w:rPr>
                <w:sz w:val="20"/>
                <w:szCs w:val="20"/>
                <w:color w:val="auto"/>
              </w:rPr>
            </w:pPr>
          </w:p>
        </w:tc>
        <w:tc>
          <w:tcPr>
            <w:tcW w:w="4140" w:type="dxa"/>
            <w:vAlign w:val="bottom"/>
            <w:gridSpan w:val="2"/>
          </w:tcPr>
          <w:p>
            <w:pPr>
              <w:spacing w:after="0"/>
              <w:rPr>
                <w:sz w:val="20"/>
                <w:szCs w:val="20"/>
                <w:color w:val="auto"/>
              </w:rPr>
            </w:pPr>
            <w:r>
              <w:rPr>
                <w:rFonts w:ascii="Arial" w:cs="Arial" w:eastAsia="Arial" w:hAnsi="Arial"/>
                <w:sz w:val="18"/>
                <w:szCs w:val="18"/>
                <w:color w:val="auto"/>
              </w:rPr>
              <w:t>Effective income tax rate</w:t>
            </w: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20.7 %</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22.2 %</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19.2 %</w:t>
            </w: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18.2 %</w:t>
            </w:r>
          </w:p>
        </w:tc>
      </w:tr>
    </w:tbl>
    <w:p>
      <w:pPr>
        <w:spacing w:after="0" w:line="228"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The income tax provision as a percentage of income before income taxes and (loss) income from investments in unconsolidated affiliates was 20.7% and 22.2% for the three months ended June 30, 2023 and 2022, respectively, and 19.2% and 18.2% for the six months ended June 30, 2023 and 2022, respectively.</w:t>
      </w:r>
    </w:p>
    <w:p>
      <w:pPr>
        <w:spacing w:after="0" w:line="130"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The Company’s potential liability for unrecognized tax benefits before interest and penalties was approximately $84 million at June 30, 2023. The Company believes it is reasonably possible that the liability for unrecognized tax benefits may decrease by up to $7 million over the next twelve months as a result of possible closure of tax audits, audit settlements, and the lapse of the statutes of limitations in various jurisdictions.</w:t>
      </w:r>
    </w:p>
    <w:p>
      <w:pPr>
        <w:spacing w:after="0" w:line="111"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As of June 30, 2023, the Company’s U.S. federal income tax return for 2022, and tax returns in certain states and foreign jurisdictions for 2015 through 2022, remain subject to examination by taxing authorities.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Shares Used in Computing Net Income Per Share Attributable to Fiserv, Inc.</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computation of shares used in calculating basic and diluted net income per share is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680" w:type="dxa"/>
            <w:vAlign w:val="bottom"/>
          </w:tcPr>
          <w:p>
            <w:pPr>
              <w:spacing w:after="0"/>
              <w:rPr>
                <w:sz w:val="17"/>
                <w:szCs w:val="17"/>
                <w:color w:val="auto"/>
              </w:rPr>
            </w:pPr>
          </w:p>
        </w:tc>
        <w:tc>
          <w:tcPr>
            <w:tcW w:w="2380" w:type="dxa"/>
            <w:vAlign w:val="bottom"/>
            <w:gridSpan w:val="4"/>
          </w:tcPr>
          <w:p>
            <w:pPr>
              <w:jc w:val="center"/>
              <w:spacing w:after="0"/>
              <w:rPr>
                <w:sz w:val="20"/>
                <w:szCs w:val="20"/>
                <w:color w:val="auto"/>
              </w:rPr>
            </w:pPr>
            <w:r>
              <w:rPr>
                <w:rFonts w:ascii="Arial" w:cs="Arial" w:eastAsia="Arial" w:hAnsi="Arial"/>
                <w:sz w:val="18"/>
                <w:szCs w:val="18"/>
                <w:b w:val="1"/>
                <w:bCs w:val="1"/>
                <w:color w:val="auto"/>
                <w:w w:val="90"/>
              </w:rPr>
              <w:t>Three Months Ended</w:t>
            </w:r>
          </w:p>
        </w:tc>
        <w:tc>
          <w:tcPr>
            <w:tcW w:w="120" w:type="dxa"/>
            <w:vAlign w:val="bottom"/>
          </w:tcPr>
          <w:p>
            <w:pPr>
              <w:spacing w:after="0"/>
              <w:rPr>
                <w:sz w:val="17"/>
                <w:szCs w:val="17"/>
                <w:color w:val="auto"/>
              </w:rPr>
            </w:pPr>
          </w:p>
        </w:tc>
        <w:tc>
          <w:tcPr>
            <w:tcW w:w="2180" w:type="dxa"/>
            <w:vAlign w:val="bottom"/>
            <w:gridSpan w:val="4"/>
          </w:tcPr>
          <w:p>
            <w:pPr>
              <w:jc w:val="center"/>
              <w:spacing w:after="0"/>
              <w:rPr>
                <w:sz w:val="20"/>
                <w:szCs w:val="20"/>
                <w:color w:val="auto"/>
              </w:rPr>
            </w:pPr>
            <w:r>
              <w:rPr>
                <w:rFonts w:ascii="Arial" w:cs="Arial" w:eastAsia="Arial" w:hAnsi="Arial"/>
                <w:sz w:val="18"/>
                <w:szCs w:val="18"/>
                <w:b w:val="1"/>
                <w:bCs w:val="1"/>
                <w:color w:val="auto"/>
                <w:w w:val="90"/>
              </w:rPr>
              <w:t>Six Months Ended</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680" w:type="dxa"/>
            <w:vAlign w:val="bottom"/>
          </w:tcPr>
          <w:p>
            <w:pPr>
              <w:spacing w:after="0"/>
              <w:rPr>
                <w:sz w:val="20"/>
                <w:szCs w:val="20"/>
                <w:color w:val="auto"/>
              </w:rPr>
            </w:pPr>
          </w:p>
        </w:tc>
        <w:tc>
          <w:tcPr>
            <w:tcW w:w="1580" w:type="dxa"/>
            <w:vAlign w:val="bottom"/>
            <w:tcBorders>
              <w:bottom w:val="single" w:sz="8" w:color="auto"/>
            </w:tcBorders>
            <w:gridSpan w:val="3"/>
          </w:tcPr>
          <w:p>
            <w:pPr>
              <w:jc w:val="center"/>
              <w:ind w:left="690"/>
              <w:spacing w:after="0"/>
              <w:rPr>
                <w:sz w:val="20"/>
                <w:szCs w:val="20"/>
                <w:color w:val="auto"/>
              </w:rPr>
            </w:pPr>
            <w:r>
              <w:rPr>
                <w:rFonts w:ascii="Arial" w:cs="Arial" w:eastAsia="Arial" w:hAnsi="Arial"/>
                <w:sz w:val="18"/>
                <w:szCs w:val="18"/>
                <w:b w:val="1"/>
                <w:bCs w:val="1"/>
                <w:color w:val="auto"/>
                <w:w w:val="88"/>
              </w:rPr>
              <w:t>June 30,</w:t>
            </w:r>
          </w:p>
        </w:tc>
        <w:tc>
          <w:tcPr>
            <w:tcW w:w="8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Borders>
              <w:bottom w:val="single" w:sz="8" w:color="auto"/>
            </w:tcBorders>
            <w:gridSpan w:val="3"/>
          </w:tcPr>
          <w:p>
            <w:pPr>
              <w:jc w:val="center"/>
              <w:ind w:left="630"/>
              <w:spacing w:after="0"/>
              <w:rPr>
                <w:sz w:val="20"/>
                <w:szCs w:val="20"/>
                <w:color w:val="auto"/>
              </w:rPr>
            </w:pPr>
            <w:r>
              <w:rPr>
                <w:rFonts w:ascii="Arial" w:cs="Arial" w:eastAsia="Arial" w:hAnsi="Arial"/>
                <w:sz w:val="18"/>
                <w:szCs w:val="18"/>
                <w:b w:val="1"/>
                <w:bCs w:val="1"/>
                <w:color w:val="auto"/>
                <w:w w:val="88"/>
              </w:rPr>
              <w:t>June 30,</w:t>
            </w:r>
          </w:p>
        </w:tc>
        <w:tc>
          <w:tcPr>
            <w:tcW w:w="7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6540" w:type="dxa"/>
            <w:vAlign w:val="bottom"/>
            <w:gridSpan w:val="2"/>
          </w:tcPr>
          <w:p>
            <w:pPr>
              <w:spacing w:after="0"/>
              <w:rPr>
                <w:sz w:val="20"/>
                <w:szCs w:val="20"/>
                <w:color w:val="auto"/>
              </w:rPr>
            </w:pPr>
            <w:r>
              <w:rPr>
                <w:rFonts w:ascii="Arial" w:cs="Arial" w:eastAsia="Arial" w:hAnsi="Arial"/>
                <w:sz w:val="16"/>
                <w:szCs w:val="16"/>
                <w:b w:val="1"/>
                <w:bCs w:val="1"/>
                <w:color w:val="auto"/>
              </w:rPr>
              <w:t>(In millions)</w:t>
            </w:r>
          </w:p>
        </w:tc>
        <w:tc>
          <w:tcPr>
            <w:tcW w:w="1120" w:type="dxa"/>
            <w:vAlign w:val="bottom"/>
          </w:tcPr>
          <w:p>
            <w:pPr>
              <w:jc w:val="right"/>
              <w:ind w:right="290"/>
              <w:spacing w:after="0" w:line="187" w:lineRule="exact"/>
              <w:rPr>
                <w:sz w:val="20"/>
                <w:szCs w:val="20"/>
                <w:color w:val="auto"/>
              </w:rPr>
            </w:pPr>
            <w:r>
              <w:rPr>
                <w:rFonts w:ascii="Arial" w:cs="Arial" w:eastAsia="Arial" w:hAnsi="Arial"/>
                <w:sz w:val="18"/>
                <w:szCs w:val="18"/>
                <w:b w:val="1"/>
                <w:bCs w:val="1"/>
                <w:color w:val="auto"/>
              </w:rPr>
              <w:t>2023</w:t>
            </w: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jc w:val="right"/>
              <w:ind w:right="290"/>
              <w:spacing w:after="0" w:line="187" w:lineRule="exact"/>
              <w:rPr>
                <w:sz w:val="20"/>
                <w:szCs w:val="20"/>
                <w:color w:val="auto"/>
              </w:rPr>
            </w:pPr>
            <w:r>
              <w:rPr>
                <w:rFonts w:ascii="Arial" w:cs="Arial" w:eastAsia="Arial" w:hAnsi="Arial"/>
                <w:sz w:val="18"/>
                <w:szCs w:val="18"/>
                <w:b w:val="1"/>
                <w:bCs w:val="1"/>
                <w:color w:val="auto"/>
                <w:w w:val="99"/>
              </w:rPr>
              <w:t>2022</w:t>
            </w:r>
          </w:p>
        </w:tc>
        <w:tc>
          <w:tcPr>
            <w:tcW w:w="120" w:type="dxa"/>
            <w:vAlign w:val="bottom"/>
          </w:tcPr>
          <w:p>
            <w:pPr>
              <w:spacing w:after="0"/>
              <w:rPr>
                <w:sz w:val="16"/>
                <w:szCs w:val="16"/>
                <w:color w:val="auto"/>
              </w:rPr>
            </w:pPr>
          </w:p>
        </w:tc>
        <w:tc>
          <w:tcPr>
            <w:tcW w:w="1040" w:type="dxa"/>
            <w:vAlign w:val="bottom"/>
          </w:tcPr>
          <w:p>
            <w:pPr>
              <w:jc w:val="right"/>
              <w:ind w:right="250"/>
              <w:spacing w:after="0" w:line="187" w:lineRule="exact"/>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40" w:type="dxa"/>
            <w:vAlign w:val="bottom"/>
          </w:tcPr>
          <w:p>
            <w:pPr>
              <w:jc w:val="right"/>
              <w:ind w:right="250"/>
              <w:spacing w:after="0" w:line="187" w:lineRule="exact"/>
              <w:rPr>
                <w:sz w:val="20"/>
                <w:szCs w:val="20"/>
                <w:color w:val="auto"/>
              </w:rPr>
            </w:pPr>
            <w:r>
              <w:rPr>
                <w:rFonts w:ascii="Arial" w:cs="Arial" w:eastAsia="Arial" w:hAnsi="Arial"/>
                <w:sz w:val="18"/>
                <w:szCs w:val="18"/>
                <w:b w:val="1"/>
                <w:bCs w:val="1"/>
                <w:color w:val="auto"/>
                <w:w w:val="94"/>
              </w:rPr>
              <w:t>2022</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568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8"/>
        </w:trPr>
        <w:tc>
          <w:tcPr>
            <w:tcW w:w="20" w:type="dxa"/>
            <w:vAlign w:val="bottom"/>
            <w:shd w:val="clear" w:color="auto" w:fill="CCEEFF"/>
          </w:tcPr>
          <w:p>
            <w:pPr>
              <w:spacing w:after="0"/>
              <w:rPr>
                <w:sz w:val="14"/>
                <w:szCs w:val="14"/>
                <w:color w:val="auto"/>
              </w:rPr>
            </w:pPr>
          </w:p>
        </w:tc>
        <w:tc>
          <w:tcPr>
            <w:tcW w:w="6540" w:type="dxa"/>
            <w:vAlign w:val="bottom"/>
            <w:gridSpan w:val="2"/>
            <w:shd w:val="clear" w:color="auto" w:fill="CCEEFF"/>
          </w:tcPr>
          <w:p>
            <w:pPr>
              <w:spacing w:after="0" w:line="168" w:lineRule="exact"/>
              <w:rPr>
                <w:sz w:val="20"/>
                <w:szCs w:val="20"/>
                <w:color w:val="auto"/>
              </w:rPr>
            </w:pPr>
            <w:r>
              <w:rPr>
                <w:rFonts w:ascii="Arial" w:cs="Arial" w:eastAsia="Arial" w:hAnsi="Arial"/>
                <w:sz w:val="18"/>
                <w:szCs w:val="18"/>
                <w:color w:val="auto"/>
                <w:w w:val="95"/>
              </w:rPr>
              <w:t>Weighted-average common shares outstanding used for the calculation of net income</w:t>
            </w:r>
          </w:p>
        </w:tc>
        <w:tc>
          <w:tcPr>
            <w:tcW w:w="1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20"/>
                <w:szCs w:val="20"/>
                <w:color w:val="auto"/>
              </w:rPr>
            </w:pPr>
          </w:p>
        </w:tc>
        <w:tc>
          <w:tcPr>
            <w:tcW w:w="65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attributable to Fiserv, Inc. per share - basic</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615.4</w:t>
            </w:r>
          </w:p>
        </w:tc>
        <w:tc>
          <w:tcPr>
            <w:tcW w:w="1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645.2</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621.2</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540" w:type="dxa"/>
            <w:vAlign w:val="bottom"/>
            <w:gridSpan w:val="2"/>
          </w:tcPr>
          <w:p>
            <w:pPr>
              <w:spacing w:after="0"/>
              <w:rPr>
                <w:sz w:val="20"/>
                <w:szCs w:val="20"/>
                <w:color w:val="auto"/>
              </w:rPr>
            </w:pPr>
            <w:r>
              <w:rPr>
                <w:rFonts w:ascii="Arial" w:cs="Arial" w:eastAsia="Arial" w:hAnsi="Arial"/>
                <w:sz w:val="18"/>
                <w:szCs w:val="18"/>
                <w:color w:val="auto"/>
              </w:rPr>
              <w:t>Common stock equivalents</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1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169"/>
        </w:trPr>
        <w:tc>
          <w:tcPr>
            <w:tcW w:w="20" w:type="dxa"/>
            <w:vAlign w:val="bottom"/>
            <w:shd w:val="clear" w:color="auto" w:fill="CCEEFF"/>
          </w:tcPr>
          <w:p>
            <w:pPr>
              <w:spacing w:after="0"/>
              <w:rPr>
                <w:sz w:val="14"/>
                <w:szCs w:val="14"/>
                <w:color w:val="auto"/>
              </w:rPr>
            </w:pPr>
          </w:p>
        </w:tc>
        <w:tc>
          <w:tcPr>
            <w:tcW w:w="6540" w:type="dxa"/>
            <w:vAlign w:val="bottom"/>
            <w:gridSpan w:val="2"/>
            <w:shd w:val="clear" w:color="auto" w:fill="CCEEFF"/>
          </w:tcPr>
          <w:p>
            <w:pPr>
              <w:spacing w:after="0" w:line="169" w:lineRule="exact"/>
              <w:rPr>
                <w:sz w:val="20"/>
                <w:szCs w:val="20"/>
                <w:color w:val="auto"/>
              </w:rPr>
            </w:pPr>
            <w:r>
              <w:rPr>
                <w:rFonts w:ascii="Arial" w:cs="Arial" w:eastAsia="Arial" w:hAnsi="Arial"/>
                <w:sz w:val="18"/>
                <w:szCs w:val="18"/>
                <w:color w:val="auto"/>
                <w:w w:val="95"/>
              </w:rPr>
              <w:t>Weighted-average common shares outstanding used for the calculation of net income</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619.2</w:t>
            </w:r>
          </w:p>
        </w:tc>
        <w:tc>
          <w:tcPr>
            <w:tcW w:w="1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650.8</w:t>
            </w:r>
          </w:p>
        </w:tc>
        <w:tc>
          <w:tcPr>
            <w:tcW w:w="11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625.3</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654.0</w:t>
            </w:r>
          </w:p>
        </w:tc>
        <w:tc>
          <w:tcPr>
            <w:tcW w:w="0" w:type="dxa"/>
            <w:vAlign w:val="bottom"/>
          </w:tcPr>
          <w:p>
            <w:pPr>
              <w:spacing w:after="0"/>
              <w:rPr>
                <w:sz w:val="1"/>
                <w:szCs w:val="1"/>
                <w:color w:val="auto"/>
              </w:rPr>
            </w:pPr>
          </w:p>
        </w:tc>
      </w:tr>
      <w:tr>
        <w:trPr>
          <w:trHeight w:val="236"/>
        </w:trPr>
        <w:tc>
          <w:tcPr>
            <w:tcW w:w="20" w:type="dxa"/>
            <w:vAlign w:val="bottom"/>
            <w:shd w:val="clear" w:color="auto" w:fill="CCEEFF"/>
          </w:tcPr>
          <w:p>
            <w:pPr>
              <w:spacing w:after="0"/>
              <w:rPr>
                <w:sz w:val="20"/>
                <w:szCs w:val="20"/>
                <w:color w:val="auto"/>
              </w:rPr>
            </w:pPr>
          </w:p>
        </w:tc>
        <w:tc>
          <w:tcPr>
            <w:tcW w:w="65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attributable to Fiserv, Inc. per share - diluted</w:t>
            </w:r>
          </w:p>
        </w:tc>
        <w:tc>
          <w:tcPr>
            <w:tcW w:w="1120" w:type="dxa"/>
            <w:vAlign w:val="bottom"/>
            <w:vMerge w:val="continue"/>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00" w:type="dxa"/>
            <w:vAlign w:val="bottom"/>
            <w:vMerge w:val="continue"/>
            <w:shd w:val="clear" w:color="auto" w:fill="CCEEFF"/>
          </w:tcPr>
          <w:p>
            <w:pPr>
              <w:spacing w:after="0"/>
              <w:rPr>
                <w:sz w:val="20"/>
                <w:szCs w:val="20"/>
                <w:color w:val="auto"/>
              </w:rPr>
            </w:pPr>
          </w:p>
        </w:tc>
        <w:tc>
          <w:tcPr>
            <w:tcW w:w="1160" w:type="dxa"/>
            <w:vAlign w:val="bottom"/>
            <w:gridSpan w:val="2"/>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74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56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For the three months ended June 30, 2023 and 2022, stock options for 0.9 million and 2.2 million shares, respectively, were excluded from the calculation of weighted-average outstanding shares - diluted because their impact was anti-dilutive. For the six months ended June 30, 2023 and 2022, stock options for 1.0 million and 2.1 million shares, respectively, were excluded from the calculation of weighted-average outstanding shares - diluted because their impact was anti-dilutive.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Cash Flow Information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Supplemental cash flow information consisted of the following:</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360" w:type="dxa"/>
            <w:vAlign w:val="bottom"/>
            <w:gridSpan w:val="3"/>
          </w:tcPr>
          <w:p>
            <w:pPr>
              <w:jc w:val="center"/>
              <w:ind w:left="690"/>
              <w:spacing w:after="0"/>
              <w:rPr>
                <w:sz w:val="20"/>
                <w:szCs w:val="20"/>
                <w:color w:val="auto"/>
              </w:rPr>
            </w:pPr>
            <w:r>
              <w:rPr>
                <w:rFonts w:ascii="Arial" w:cs="Arial" w:eastAsia="Arial" w:hAnsi="Arial"/>
                <w:sz w:val="18"/>
                <w:szCs w:val="18"/>
                <w:b w:val="1"/>
                <w:bCs w:val="1"/>
                <w:color w:val="auto"/>
                <w:w w:val="90"/>
              </w:rPr>
              <w:t>Six Months Ended</w:t>
            </w:r>
          </w:p>
        </w:tc>
        <w:tc>
          <w:tcPr>
            <w:tcW w:w="1240" w:type="dxa"/>
            <w:vAlign w:val="bottom"/>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30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gridSpan w:val="3"/>
          </w:tcPr>
          <w:p>
            <w:pPr>
              <w:jc w:val="center"/>
              <w:ind w:left="710"/>
              <w:spacing w:after="0"/>
              <w:rPr>
                <w:sz w:val="20"/>
                <w:szCs w:val="20"/>
                <w:color w:val="auto"/>
              </w:rPr>
            </w:pPr>
            <w:r>
              <w:rPr>
                <w:rFonts w:ascii="Arial" w:cs="Arial" w:eastAsia="Arial" w:hAnsi="Arial"/>
                <w:sz w:val="18"/>
                <w:szCs w:val="18"/>
                <w:b w:val="1"/>
                <w:bCs w:val="1"/>
                <w:color w:val="auto"/>
                <w:w w:val="88"/>
              </w:rPr>
              <w:t>June 30,</w:t>
            </w:r>
          </w:p>
        </w:tc>
        <w:tc>
          <w:tcPr>
            <w:tcW w:w="1240" w:type="dxa"/>
            <w:vAlign w:val="bottom"/>
            <w:tcBorders>
              <w:bottom w:val="single" w:sz="8" w:color="auto"/>
            </w:tcBorders>
          </w:tcPr>
          <w:p>
            <w:pPr>
              <w:spacing w:after="0"/>
              <w:rPr>
                <w:sz w:val="20"/>
                <w:szCs w:val="20"/>
                <w:color w:val="auto"/>
              </w:rPr>
            </w:pPr>
          </w:p>
        </w:tc>
      </w:tr>
      <w:tr>
        <w:trPr>
          <w:trHeight w:val="196"/>
        </w:trPr>
        <w:tc>
          <w:tcPr>
            <w:tcW w:w="20" w:type="dxa"/>
            <w:vAlign w:val="bottom"/>
          </w:tcPr>
          <w:p>
            <w:pPr>
              <w:spacing w:after="0"/>
              <w:rPr>
                <w:sz w:val="17"/>
                <w:szCs w:val="17"/>
                <w:color w:val="auto"/>
              </w:rPr>
            </w:pPr>
          </w:p>
        </w:tc>
        <w:tc>
          <w:tcPr>
            <w:tcW w:w="7160" w:type="dxa"/>
            <w:vAlign w:val="bottom"/>
            <w:gridSpan w:val="2"/>
          </w:tcPr>
          <w:p>
            <w:pPr>
              <w:spacing w:after="0"/>
              <w:rPr>
                <w:sz w:val="20"/>
                <w:szCs w:val="20"/>
                <w:color w:val="auto"/>
              </w:rPr>
            </w:pPr>
            <w:r>
              <w:rPr>
                <w:rFonts w:ascii="Arial" w:cs="Arial" w:eastAsia="Arial" w:hAnsi="Arial"/>
                <w:sz w:val="16"/>
                <w:szCs w:val="16"/>
                <w:b w:val="1"/>
                <w:bCs w:val="1"/>
                <w:color w:val="auto"/>
              </w:rPr>
              <w:t>(In millions)</w:t>
            </w:r>
          </w:p>
        </w:tc>
        <w:tc>
          <w:tcPr>
            <w:tcW w:w="460" w:type="dxa"/>
            <w:vAlign w:val="bottom"/>
          </w:tcPr>
          <w:p>
            <w:pPr>
              <w:spacing w:after="0"/>
              <w:rPr>
                <w:sz w:val="17"/>
                <w:szCs w:val="17"/>
                <w:color w:val="auto"/>
              </w:rPr>
            </w:pPr>
          </w:p>
        </w:tc>
        <w:tc>
          <w:tcPr>
            <w:tcW w:w="1500" w:type="dxa"/>
            <w:vAlign w:val="bottom"/>
          </w:tcPr>
          <w:p>
            <w:pPr>
              <w:jc w:val="right"/>
              <w:ind w:right="710"/>
              <w:spacing w:after="0" w:line="196" w:lineRule="exact"/>
              <w:rPr>
                <w:sz w:val="20"/>
                <w:szCs w:val="20"/>
                <w:color w:val="auto"/>
              </w:rPr>
            </w:pPr>
            <w:r>
              <w:rPr>
                <w:rFonts w:ascii="Arial" w:cs="Arial" w:eastAsia="Arial" w:hAnsi="Arial"/>
                <w:sz w:val="18"/>
                <w:szCs w:val="18"/>
                <w:b w:val="1"/>
                <w:bCs w:val="1"/>
                <w:color w:val="auto"/>
              </w:rPr>
              <w:t>2023</w:t>
            </w: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40" w:type="dxa"/>
            <w:vAlign w:val="bottom"/>
          </w:tcPr>
          <w:p>
            <w:pPr>
              <w:jc w:val="right"/>
              <w:ind w:right="710"/>
              <w:spacing w:after="0" w:line="196" w:lineRule="exact"/>
              <w:rPr>
                <w:sz w:val="20"/>
                <w:szCs w:val="20"/>
                <w:color w:val="auto"/>
              </w:rPr>
            </w:pPr>
            <w:r>
              <w:rPr>
                <w:rFonts w:ascii="Arial" w:cs="Arial" w:eastAsia="Arial" w:hAnsi="Arial"/>
                <w:sz w:val="18"/>
                <w:szCs w:val="18"/>
                <w:b w:val="1"/>
                <w:bCs w:val="1"/>
                <w:color w:val="auto"/>
              </w:rPr>
              <w:t>2022</w:t>
            </w:r>
          </w:p>
        </w:tc>
      </w:tr>
      <w:tr>
        <w:trPr>
          <w:trHeight w:val="20"/>
        </w:trPr>
        <w:tc>
          <w:tcPr>
            <w:tcW w:w="20" w:type="dxa"/>
            <w:vAlign w:val="bottom"/>
          </w:tcPr>
          <w:p>
            <w:pPr>
              <w:spacing w:after="0" w:line="20" w:lineRule="exact"/>
              <w:rPr>
                <w:sz w:val="1"/>
                <w:szCs w:val="1"/>
                <w:color w:val="auto"/>
              </w:rPr>
            </w:pPr>
          </w:p>
        </w:tc>
        <w:tc>
          <w:tcPr>
            <w:tcW w:w="860" w:type="dxa"/>
            <w:vAlign w:val="bottom"/>
            <w:tcBorders>
              <w:top w:val="single" w:sz="8" w:color="auto"/>
            </w:tcBorders>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7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paid</w:t>
            </w: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w:t>
            </w:r>
          </w:p>
        </w:tc>
        <w:tc>
          <w:tcPr>
            <w:tcW w:w="8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w:t>
            </w:r>
          </w:p>
        </w:tc>
      </w:tr>
      <w:tr>
        <w:trPr>
          <w:trHeight w:val="230"/>
        </w:trPr>
        <w:tc>
          <w:tcPr>
            <w:tcW w:w="20" w:type="dxa"/>
            <w:vAlign w:val="bottom"/>
          </w:tcPr>
          <w:p>
            <w:pPr>
              <w:spacing w:after="0"/>
              <w:rPr>
                <w:sz w:val="19"/>
                <w:szCs w:val="19"/>
                <w:color w:val="auto"/>
              </w:rPr>
            </w:pPr>
          </w:p>
        </w:tc>
        <w:tc>
          <w:tcPr>
            <w:tcW w:w="7160" w:type="dxa"/>
            <w:vAlign w:val="bottom"/>
            <w:gridSpan w:val="2"/>
          </w:tcPr>
          <w:p>
            <w:pPr>
              <w:spacing w:after="0"/>
              <w:rPr>
                <w:sz w:val="20"/>
                <w:szCs w:val="20"/>
                <w:color w:val="auto"/>
              </w:rPr>
            </w:pPr>
            <w:r>
              <w:rPr>
                <w:rFonts w:ascii="Arial" w:cs="Arial" w:eastAsia="Arial" w:hAnsi="Arial"/>
                <w:sz w:val="18"/>
                <w:szCs w:val="18"/>
                <w:color w:val="auto"/>
              </w:rPr>
              <w:t>Income taxes paid</w:t>
            </w:r>
          </w:p>
        </w:tc>
        <w:tc>
          <w:tcPr>
            <w:tcW w:w="4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882</w:t>
            </w: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399</w:t>
            </w:r>
          </w:p>
        </w:tc>
      </w:tr>
      <w:tr>
        <w:trPr>
          <w:trHeight w:val="229"/>
        </w:trPr>
        <w:tc>
          <w:tcPr>
            <w:tcW w:w="20" w:type="dxa"/>
            <w:vAlign w:val="bottom"/>
            <w:shd w:val="clear" w:color="auto" w:fill="CCEEFF"/>
          </w:tcPr>
          <w:p>
            <w:pPr>
              <w:spacing w:after="0"/>
              <w:rPr>
                <w:sz w:val="19"/>
                <w:szCs w:val="19"/>
                <w:color w:val="auto"/>
              </w:rPr>
            </w:pPr>
          </w:p>
        </w:tc>
        <w:tc>
          <w:tcPr>
            <w:tcW w:w="7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Treasury stock purchases settled after the balance sheet date</w:t>
            </w:r>
          </w:p>
        </w:tc>
        <w:tc>
          <w:tcPr>
            <w:tcW w:w="4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20" w:type="dxa"/>
            <w:vAlign w:val="bottom"/>
          </w:tcPr>
          <w:p>
            <w:pPr>
              <w:spacing w:after="0"/>
              <w:rPr>
                <w:sz w:val="20"/>
                <w:szCs w:val="20"/>
                <w:color w:val="auto"/>
              </w:rPr>
            </w:pPr>
          </w:p>
        </w:tc>
        <w:tc>
          <w:tcPr>
            <w:tcW w:w="7160" w:type="dxa"/>
            <w:vAlign w:val="bottom"/>
            <w:gridSpan w:val="2"/>
          </w:tcPr>
          <w:p>
            <w:pPr>
              <w:spacing w:after="0"/>
              <w:rPr>
                <w:sz w:val="20"/>
                <w:szCs w:val="20"/>
                <w:color w:val="auto"/>
              </w:rPr>
            </w:pPr>
            <w:r>
              <w:rPr>
                <w:rFonts w:ascii="Arial" w:cs="Arial" w:eastAsia="Arial" w:hAnsi="Arial"/>
                <w:sz w:val="18"/>
                <w:szCs w:val="18"/>
                <w:color w:val="auto"/>
              </w:rPr>
              <w:t>Distribution of nonmonetary assets (see Note 10)</w:t>
            </w:r>
          </w:p>
        </w:tc>
        <w:tc>
          <w:tcPr>
            <w:tcW w:w="46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111</w:t>
            </w:r>
          </w:p>
        </w:tc>
      </w:tr>
      <w:tr>
        <w:trPr>
          <w:trHeight w:val="236"/>
        </w:trPr>
        <w:tc>
          <w:tcPr>
            <w:tcW w:w="20" w:type="dxa"/>
            <w:vAlign w:val="bottom"/>
            <w:shd w:val="clear" w:color="auto" w:fill="CCEEFF"/>
          </w:tcPr>
          <w:p>
            <w:pPr>
              <w:spacing w:after="0"/>
              <w:rPr>
                <w:sz w:val="20"/>
                <w:szCs w:val="20"/>
                <w:color w:val="auto"/>
              </w:rPr>
            </w:pPr>
          </w:p>
        </w:tc>
        <w:tc>
          <w:tcPr>
            <w:tcW w:w="7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Software obtained under financing arrangements</w:t>
            </w:r>
          </w:p>
        </w:tc>
        <w:tc>
          <w:tcPr>
            <w:tcW w:w="460" w:type="dxa"/>
            <w:vAlign w:val="bottom"/>
            <w:shd w:val="clear" w:color="auto" w:fill="CCEEFF"/>
          </w:tcPr>
          <w:p>
            <w:pPr>
              <w:spacing w:after="0"/>
              <w:rPr>
                <w:sz w:val="20"/>
                <w:szCs w:val="20"/>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r>
      <w:tr>
        <w:trPr>
          <w:trHeight w:val="230"/>
        </w:trPr>
        <w:tc>
          <w:tcPr>
            <w:tcW w:w="20" w:type="dxa"/>
            <w:vAlign w:val="bottom"/>
          </w:tcPr>
          <w:p>
            <w:pPr>
              <w:spacing w:after="0"/>
              <w:rPr>
                <w:sz w:val="19"/>
                <w:szCs w:val="19"/>
                <w:color w:val="auto"/>
              </w:rPr>
            </w:pPr>
          </w:p>
        </w:tc>
        <w:tc>
          <w:tcPr>
            <w:tcW w:w="7160" w:type="dxa"/>
            <w:vAlign w:val="bottom"/>
            <w:gridSpan w:val="2"/>
          </w:tcPr>
          <w:p>
            <w:pPr>
              <w:spacing w:after="0"/>
              <w:rPr>
                <w:sz w:val="20"/>
                <w:szCs w:val="20"/>
                <w:color w:val="auto"/>
              </w:rPr>
            </w:pPr>
            <w:r>
              <w:rPr>
                <w:rFonts w:ascii="Arial" w:cs="Arial" w:eastAsia="Arial" w:hAnsi="Arial"/>
                <w:sz w:val="18"/>
                <w:szCs w:val="18"/>
                <w:color w:val="auto"/>
              </w:rPr>
              <w:t>Right-of-use assets obtained in exchange for lease liabilities - operating leases</w:t>
            </w:r>
          </w:p>
        </w:tc>
        <w:tc>
          <w:tcPr>
            <w:tcW w:w="4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243"/>
        </w:trPr>
        <w:tc>
          <w:tcPr>
            <w:tcW w:w="20" w:type="dxa"/>
            <w:vAlign w:val="bottom"/>
            <w:shd w:val="clear" w:color="auto" w:fill="CCEEFF"/>
          </w:tcPr>
          <w:p>
            <w:pPr>
              <w:spacing w:after="0"/>
              <w:rPr>
                <w:sz w:val="21"/>
                <w:szCs w:val="21"/>
                <w:color w:val="auto"/>
              </w:rPr>
            </w:pPr>
          </w:p>
        </w:tc>
        <w:tc>
          <w:tcPr>
            <w:tcW w:w="7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Right-of-use assets obtained in exchange for lease liabilities - finance leases</w:t>
            </w:r>
          </w:p>
        </w:tc>
        <w:tc>
          <w:tcPr>
            <w:tcW w:w="46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Commitments and Contingencies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 and Legislative Matters</w:t>
      </w:r>
    </w:p>
    <w:p>
      <w:pPr>
        <w:spacing w:after="0" w:line="171"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In the normal course of business, the Company or its subsidiaries are named as defendants in lawsuits in which claims are asserted against the Company. The Company maintained accruals of $31 million and $21 million at June 30, 2023 and December 31, 2022, respectively, related to its various legal proceedings, primarily associated with the Company’s merchant acquiring business and certain tax matters. The Company’s estimate of the possible range of exposure for various litigation matters in excess of amounts accrued is $0 million to approximately $80 million. In the opinion of management, the liabilities, if any, which may ultimately result from such legal proceedings are not expected to have a material adverse effect on the Company’s consolidated financial statements.</w:t>
      </w:r>
    </w:p>
    <w:p>
      <w:pPr>
        <w:spacing w:after="0" w:line="138" w:lineRule="exact"/>
        <w:rPr>
          <w:sz w:val="20"/>
          <w:szCs w:val="20"/>
          <w:color w:val="auto"/>
        </w:rPr>
      </w:pPr>
    </w:p>
    <w:p>
      <w:pPr>
        <w:ind w:right="40"/>
        <w:spacing w:after="0" w:line="311" w:lineRule="auto"/>
        <w:rPr>
          <w:sz w:val="20"/>
          <w:szCs w:val="20"/>
          <w:color w:val="auto"/>
        </w:rPr>
      </w:pPr>
      <w:r>
        <w:rPr>
          <w:rFonts w:ascii="Arial" w:cs="Arial" w:eastAsia="Arial" w:hAnsi="Arial"/>
          <w:sz w:val="16"/>
          <w:szCs w:val="16"/>
          <w:color w:val="auto"/>
        </w:rPr>
        <w:t>In June 2023, a Canadian tax law change related to the Goods and Services Tax / Harmonized Sales Tax (GST/HST) treatment of payment card services was enacted. The Company has estimated its exposure related to this multi-year retroactive tax law change and recognized a pre-tax expense of $27 million within selling, general and administrative expenses in the consolidated statement of income during the three and six months ended June 30, 2023.</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Electronic Payments Transactions</w:t>
      </w:r>
    </w:p>
    <w:p>
      <w:pPr>
        <w:spacing w:after="0" w:line="17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connection with the Company’s processing of electronic payments transactions, which are separate and distinct from the settlement payment transactions described in Note 1, funds received from subscribers are invested from the time the Company collects the funds until payments are made to the applicable recipients. These subscriber funds are invested in short-term, highly liquid investments. Subscriber funds, which are not included in the Company’s consolidated balance sheets, can fluctuate significantly based on consumer bill payment and debit card activity and totaled approximately $1.2 billion and $1.7 billion at June 30, 2023 and December 31, 2022, respectively.</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Indemnifications and Warranties</w:t>
      </w:r>
    </w:p>
    <w:p>
      <w:pPr>
        <w:spacing w:after="0" w:line="17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Company may indemnify its clients from certain costs resulting from claims of patent, copyright or trademark infringement associated with its clients’ use of the Company’s products or services. The Company may also warrant to clients that its products and services will operate in accordance with identified specifications. From time to time, in connection with sales of businesses, the Company agrees to indemnify the buyers of such businesses for liabilities associated with the businesses that are sold. Payments, net of recoveries, under such indemnification or warranty provisions were not material to the Company’s consolidated financial statements.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Related Party Transactions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Merchant Alliances</w:t>
      </w:r>
    </w:p>
    <w:p>
      <w:pPr>
        <w:spacing w:after="0" w:line="171" w:lineRule="exact"/>
        <w:rPr>
          <w:sz w:val="20"/>
          <w:szCs w:val="20"/>
          <w:color w:val="auto"/>
        </w:rPr>
      </w:pPr>
    </w:p>
    <w:p>
      <w:pPr>
        <w:ind w:right="220"/>
        <w:spacing w:after="0" w:line="301" w:lineRule="auto"/>
        <w:rPr>
          <w:sz w:val="20"/>
          <w:szCs w:val="20"/>
          <w:color w:val="auto"/>
        </w:rPr>
      </w:pPr>
      <w:r>
        <w:rPr>
          <w:rFonts w:ascii="Arial" w:cs="Arial" w:eastAsia="Arial" w:hAnsi="Arial"/>
          <w:sz w:val="16"/>
          <w:szCs w:val="16"/>
          <w:color w:val="auto"/>
        </w:rPr>
        <w:t>A portion of the Company’s business is conducted through merchant alliances between the Company and financial institutions. A merchant alliance is an agreement between the Company and a financial institution that combines the processing capabilities and management expertise of the Company with the visibility and distribution channel of the financial institution. A merchant alliance acquires credit and debit card transactions from merchants. The Company provides processing and other services to the alliance and charges fees to the alliance based on contractual pricing.</w:t>
      </w:r>
    </w:p>
    <w:p>
      <w:pPr>
        <w:spacing w:after="0" w:line="103"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To the extent the Company maintains a controlling financial interest in an alliance, the alliance’s financial statements are consolidated with those of the Company and the related processing fees are treated as an intercompany transaction and eliminated in consolidation. To the extent the Company has significant influence in, but not control of, an alliance, the Company uses the equity method to account for its investment in the alliance. As a result, the processing and other service fees charged to merchant alliances accounted for under the equity method are recognized in the Company’s consolidated statements of income primarily as processing and services revenue. Such fees totaled $45 million and $46 million for the three months ended June 30, 2023 and 2022, respectively, and $91 million and $93 million for the six months ended June 30, 2023 and 2022, respectively. No directors or officers of the Company have ownership interests in any of the alliances. The formation of each of these alliances generally involves the Company and the financial institution contributing contracts with merchants to the alliance and a cash payment from one owner to the other to achieve the desired ownership percentage for each. The Company and the financial institution enter into a long-term processing service agreement, which governs the Company’s provision of transaction processing services to the alliance. The Company had approximately $36 million and $43 million of amounts due from unconsolidated merchant alliances included within trade accounts receivable, net in the Company’s consolidated balance sheets at June 30, 2023 and December 31, 2022, respectively.</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Joint Venture Transition Services Agreements</w:t>
      </w:r>
    </w:p>
    <w:p>
      <w:pPr>
        <w:spacing w:after="0" w:line="17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Pursuant to certain transition services agreements, the Company provides, at fair value, various administration, business process outsourcing, and technical and data center related services for defined periods to certain joint ventures accounted for under the equity method. Amounts transacted through these agreements totaled $1 million and $5 million during the three months ended June 30, 2023 and 2022, respectively, and $2 million and $9 million during the six months ended June 30, 2023 and 2022, respectively, and were primarily recognized as processing and services revenue in the consolidated statements of income.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Business Segment Information</w:t>
      </w:r>
    </w:p>
    <w:p>
      <w:pPr>
        <w:spacing w:after="0" w:line="175" w:lineRule="exact"/>
        <w:rPr>
          <w:sz w:val="20"/>
          <w:szCs w:val="20"/>
          <w:color w:val="auto"/>
        </w:rPr>
      </w:pPr>
    </w:p>
    <w:p>
      <w:pPr>
        <w:spacing w:after="0" w:line="250" w:lineRule="auto"/>
        <w:rPr>
          <w:sz w:val="20"/>
          <w:szCs w:val="20"/>
          <w:color w:val="auto"/>
        </w:rPr>
      </w:pPr>
      <w:r>
        <w:rPr>
          <w:rFonts w:ascii="Arial" w:cs="Arial" w:eastAsia="Arial" w:hAnsi="Arial"/>
          <w:sz w:val="17"/>
          <w:szCs w:val="17"/>
          <w:color w:val="auto"/>
        </w:rPr>
        <w:t>The Company’s operations are comprised of the Acceptance segment, the Fintech segment and the Payments segment. The businesses in the Acceptance segment provide a wide range of commerce-enabling solutions and serve merchants of all sizes around the world. These solutions include merchant acquiring and digital commerce services; mobile payment services; security and fraud protection products; Clover</w:t>
      </w:r>
      <w:r>
        <w:rPr>
          <w:rFonts w:ascii="Arial" w:cs="Arial" w:eastAsia="Arial" w:hAnsi="Arial"/>
          <w:sz w:val="22"/>
          <w:szCs w:val="22"/>
          <w:color w:val="auto"/>
          <w:vertAlign w:val="superscript"/>
        </w:rPr>
        <w:t>®</w:t>
      </w:r>
      <w:r>
        <w:rPr>
          <w:rFonts w:ascii="Arial" w:cs="Arial" w:eastAsia="Arial" w:hAnsi="Arial"/>
          <w:sz w:val="17"/>
          <w:szCs w:val="17"/>
          <w:color w:val="auto"/>
        </w:rPr>
        <w:t>, the Company’s cloud-based POS and integrated commerce operating system for small and mid-sized businesses and independent software vendors; and Carat</w:t>
      </w:r>
      <w:r>
        <w:rPr>
          <w:rFonts w:ascii="Arial" w:cs="Arial" w:eastAsia="Arial" w:hAnsi="Arial"/>
          <w:sz w:val="22"/>
          <w:szCs w:val="22"/>
          <w:color w:val="auto"/>
          <w:vertAlign w:val="superscript"/>
        </w:rPr>
        <w:t>SM</w:t>
      </w:r>
      <w:r>
        <w:rPr>
          <w:rFonts w:ascii="Arial" w:cs="Arial" w:eastAsia="Arial" w:hAnsi="Arial"/>
          <w:sz w:val="17"/>
          <w:szCs w:val="17"/>
          <w:color w:val="auto"/>
        </w:rPr>
        <w:t>, the Company’s integrated operating system for large businesses. The Company distributes the products and services in the global Acceptance segment businesses through a variety of channels, including direct sales teams, strategic partnerships with agent sales forces, independent software vendors, financial institutions and other strategic partners in the form of joint venture alliances, revenue sharing alliances and referral agreements. Merchants, financial institutions and distribution partners in the Acceptance segment are frequently clients of the Company’s other segments.</w:t>
      </w:r>
    </w:p>
    <w:p>
      <w:pPr>
        <w:spacing w:after="0" w:line="141" w:lineRule="exact"/>
        <w:rPr>
          <w:sz w:val="20"/>
          <w:szCs w:val="20"/>
          <w:color w:val="auto"/>
        </w:rPr>
      </w:pPr>
    </w:p>
    <w:p>
      <w:pPr>
        <w:ind w:right="120"/>
        <w:spacing w:after="0" w:line="296" w:lineRule="auto"/>
        <w:rPr>
          <w:sz w:val="20"/>
          <w:szCs w:val="20"/>
          <w:color w:val="auto"/>
        </w:rPr>
      </w:pPr>
      <w:r>
        <w:rPr>
          <w:rFonts w:ascii="Arial" w:cs="Arial" w:eastAsia="Arial" w:hAnsi="Arial"/>
          <w:sz w:val="16"/>
          <w:szCs w:val="16"/>
          <w:color w:val="auto"/>
        </w:rPr>
        <w:t>The businesses in the Fintech segment provide financial institutions around the world with the technology solutions they need to run their operations, including products and services that enable financial institutions to process customer deposit and loan accounts and manage an institution’s general ledger and central information files. As a complement to the core account processing functionality, the global Fintech segment businesses also provide digital banking, financial and risk management, professional services and consulting, item processing and source capture, and other products and services that support numerous types of financial transactions. Certain of the businesses in the Fintech segment provide products or services to corporate clients</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to facilitate the management of financial processes and transactions. Many of the products and services offered in the Fintech segment are integrated with products and services provided by the Company’s other segments.</w:t>
      </w:r>
    </w:p>
    <w:p>
      <w:pPr>
        <w:spacing w:after="0" w:line="116" w:lineRule="exact"/>
        <w:rPr>
          <w:sz w:val="20"/>
          <w:szCs w:val="20"/>
          <w:color w:val="auto"/>
        </w:rPr>
      </w:pPr>
    </w:p>
    <w:p>
      <w:pPr>
        <w:ind w:right="220"/>
        <w:spacing w:after="0" w:line="273" w:lineRule="auto"/>
        <w:rPr>
          <w:sz w:val="20"/>
          <w:szCs w:val="20"/>
          <w:color w:val="auto"/>
        </w:rPr>
      </w:pPr>
      <w:r>
        <w:rPr>
          <w:rFonts w:ascii="Arial" w:cs="Arial" w:eastAsia="Arial" w:hAnsi="Arial"/>
          <w:sz w:val="17"/>
          <w:szCs w:val="17"/>
          <w:color w:val="auto"/>
        </w:rPr>
        <w:t>The businesses in the Payments segment provide financial institutions and corporate and public sector clients around the world with the products and services required to process digital payment transactions. This includes card transactions such as debit, credit and prepaid card processing and services; a range of network services, security and fraud protection products, card production and print services. In addition, the Payments segment businesses offer non-card digital payment software and services, including bill payment, account-to-account transfers, person-to-person payments, electronic billing, and security and fraud protection products. Clients of the global Payments segment businesses reflect a wide range of industries, including merchants, distribution partners and financial institution customers in the Company’s other segments.</w:t>
      </w:r>
    </w:p>
    <w:p>
      <w:pPr>
        <w:spacing w:after="0" w:line="124"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Corporate and Other supports the reportable segments described above, and consists of amortization of acquisition-related intangible assets, unallocated corporate expenses and other activities that are not considered when management evaluates segment performance, such as gains or losses on sales of businesses, certain assets or investments, costs associated with acquisition and divestiture activity, certain transition services revenue associated with various dispositions, and the Company’s Output Solutions postage reimbursements.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20" w:type="dxa"/>
            <w:vAlign w:val="bottom"/>
            <w:gridSpan w:val="3"/>
          </w:tcPr>
          <w:p>
            <w:pPr>
              <w:spacing w:after="0"/>
              <w:rPr>
                <w:sz w:val="20"/>
                <w:szCs w:val="20"/>
                <w:color w:val="auto"/>
              </w:rPr>
            </w:pPr>
            <w:r>
              <w:rPr>
                <w:rFonts w:ascii="Arial" w:cs="Arial" w:eastAsia="Arial" w:hAnsi="Arial"/>
                <w:sz w:val="18"/>
                <w:szCs w:val="18"/>
                <w:color w:val="auto"/>
              </w:rPr>
              <w:t>Operating results for each segment were as follows:</w:t>
            </w: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418"/>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6"/>
          </w:tcPr>
          <w:p>
            <w:pPr>
              <w:jc w:val="right"/>
              <w:ind w:right="70"/>
              <w:spacing w:after="0"/>
              <w:rPr>
                <w:sz w:val="20"/>
                <w:szCs w:val="20"/>
                <w:color w:val="auto"/>
              </w:rPr>
            </w:pPr>
            <w:r>
              <w:rPr>
                <w:rFonts w:ascii="Arial" w:cs="Arial" w:eastAsia="Arial" w:hAnsi="Arial"/>
                <w:sz w:val="18"/>
                <w:szCs w:val="18"/>
                <w:b w:val="1"/>
                <w:bCs w:val="1"/>
                <w:color w:val="auto"/>
                <w:w w:val="87"/>
              </w:rPr>
              <w:t>Reportable Segments</w:t>
            </w:r>
          </w:p>
        </w:tc>
        <w:tc>
          <w:tcPr>
            <w:tcW w:w="11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69"/>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jc w:val="right"/>
              <w:ind w:right="170"/>
              <w:spacing w:after="0" w:line="169" w:lineRule="exact"/>
              <w:rPr>
                <w:sz w:val="20"/>
                <w:szCs w:val="20"/>
                <w:color w:val="auto"/>
              </w:rPr>
            </w:pPr>
            <w:r>
              <w:rPr>
                <w:rFonts w:ascii="Arial" w:cs="Arial" w:eastAsia="Arial" w:hAnsi="Arial"/>
                <w:sz w:val="18"/>
                <w:szCs w:val="18"/>
                <w:b w:val="1"/>
                <w:bCs w:val="1"/>
                <w:color w:val="auto"/>
                <w:w w:val="97"/>
              </w:rPr>
              <w:t>Corporate</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203"/>
        </w:trPr>
        <w:tc>
          <w:tcPr>
            <w:tcW w:w="20" w:type="dxa"/>
            <w:vAlign w:val="bottom"/>
          </w:tcPr>
          <w:p>
            <w:pPr>
              <w:spacing w:after="0"/>
              <w:rPr>
                <w:sz w:val="17"/>
                <w:szCs w:val="17"/>
                <w:color w:val="auto"/>
              </w:rPr>
            </w:pPr>
          </w:p>
        </w:tc>
        <w:tc>
          <w:tcPr>
            <w:tcW w:w="4200" w:type="dxa"/>
            <w:vAlign w:val="bottom"/>
            <w:gridSpan w:val="2"/>
          </w:tcPr>
          <w:p>
            <w:pPr>
              <w:spacing w:after="0"/>
              <w:rPr>
                <w:sz w:val="20"/>
                <w:szCs w:val="20"/>
                <w:color w:val="auto"/>
              </w:rPr>
            </w:pPr>
            <w:r>
              <w:rPr>
                <w:rFonts w:ascii="Arial" w:cs="Arial" w:eastAsia="Arial" w:hAnsi="Arial"/>
                <w:sz w:val="16"/>
                <w:szCs w:val="16"/>
                <w:b w:val="1"/>
                <w:bCs w:val="1"/>
                <w:color w:val="auto"/>
              </w:rPr>
              <w:t>(In millions)</w:t>
            </w:r>
          </w:p>
        </w:tc>
        <w:tc>
          <w:tcPr>
            <w:tcW w:w="160" w:type="dxa"/>
            <w:vAlign w:val="bottom"/>
          </w:tcPr>
          <w:p>
            <w:pPr>
              <w:spacing w:after="0"/>
              <w:rPr>
                <w:sz w:val="17"/>
                <w:szCs w:val="17"/>
                <w:color w:val="auto"/>
              </w:rPr>
            </w:pPr>
          </w:p>
        </w:tc>
        <w:tc>
          <w:tcPr>
            <w:tcW w:w="1100" w:type="dxa"/>
            <w:vAlign w:val="bottom"/>
          </w:tcPr>
          <w:p>
            <w:pPr>
              <w:jc w:val="right"/>
              <w:ind w:right="70"/>
              <w:spacing w:after="0" w:line="202" w:lineRule="exact"/>
              <w:rPr>
                <w:sz w:val="20"/>
                <w:szCs w:val="20"/>
                <w:color w:val="auto"/>
              </w:rPr>
            </w:pPr>
            <w:r>
              <w:rPr>
                <w:rFonts w:ascii="Arial" w:cs="Arial" w:eastAsia="Arial" w:hAnsi="Arial"/>
                <w:sz w:val="18"/>
                <w:szCs w:val="18"/>
                <w:b w:val="1"/>
                <w:bCs w:val="1"/>
                <w:color w:val="auto"/>
                <w:w w:val="91"/>
              </w:rPr>
              <w:t>Acceptance</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jc w:val="right"/>
              <w:ind w:right="270"/>
              <w:spacing w:after="0" w:line="202" w:lineRule="exact"/>
              <w:rPr>
                <w:sz w:val="20"/>
                <w:szCs w:val="20"/>
                <w:color w:val="auto"/>
              </w:rPr>
            </w:pPr>
            <w:r>
              <w:rPr>
                <w:rFonts w:ascii="Arial" w:cs="Arial" w:eastAsia="Arial" w:hAnsi="Arial"/>
                <w:sz w:val="18"/>
                <w:szCs w:val="18"/>
                <w:b w:val="1"/>
                <w:bCs w:val="1"/>
                <w:color w:val="auto"/>
              </w:rPr>
              <w:t>Fintech</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jc w:val="right"/>
              <w:ind w:right="190"/>
              <w:spacing w:after="0" w:line="202" w:lineRule="exact"/>
              <w:rPr>
                <w:sz w:val="20"/>
                <w:szCs w:val="20"/>
                <w:color w:val="auto"/>
              </w:rPr>
            </w:pPr>
            <w:r>
              <w:rPr>
                <w:rFonts w:ascii="Arial" w:cs="Arial" w:eastAsia="Arial" w:hAnsi="Arial"/>
                <w:sz w:val="18"/>
                <w:szCs w:val="18"/>
                <w:b w:val="1"/>
                <w:bCs w:val="1"/>
                <w:color w:val="auto"/>
                <w:w w:val="96"/>
              </w:rPr>
              <w:t>Payments</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ind w:right="170"/>
              <w:spacing w:after="0" w:line="202" w:lineRule="exact"/>
              <w:rPr>
                <w:sz w:val="20"/>
                <w:szCs w:val="20"/>
                <w:color w:val="auto"/>
              </w:rPr>
            </w:pPr>
            <w:r>
              <w:rPr>
                <w:rFonts w:ascii="Arial" w:cs="Arial" w:eastAsia="Arial" w:hAnsi="Arial"/>
                <w:sz w:val="18"/>
                <w:szCs w:val="18"/>
                <w:b w:val="1"/>
                <w:bCs w:val="1"/>
                <w:color w:val="auto"/>
                <w:w w:val="98"/>
              </w:rPr>
              <w:t>and Other</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jc w:val="right"/>
              <w:ind w:right="370"/>
              <w:spacing w:after="0" w:line="202" w:lineRule="exact"/>
              <w:rPr>
                <w:sz w:val="20"/>
                <w:szCs w:val="20"/>
                <w:color w:val="auto"/>
              </w:rPr>
            </w:pPr>
            <w:r>
              <w:rPr>
                <w:rFonts w:ascii="Arial" w:cs="Arial" w:eastAsia="Arial" w:hAnsi="Arial"/>
                <w:sz w:val="18"/>
                <w:szCs w:val="18"/>
                <w:b w:val="1"/>
                <w:bCs w:val="1"/>
                <w:color w:val="auto"/>
              </w:rPr>
              <w:t>Total</w:t>
            </w:r>
          </w:p>
        </w:tc>
      </w:tr>
      <w:tr>
        <w:trPr>
          <w:trHeight w:val="20"/>
        </w:trPr>
        <w:tc>
          <w:tcPr>
            <w:tcW w:w="20" w:type="dxa"/>
            <w:vAlign w:val="bottom"/>
          </w:tcPr>
          <w:p>
            <w:pPr>
              <w:spacing w:after="0" w:line="20" w:lineRule="exact"/>
              <w:rPr>
                <w:sz w:val="1"/>
                <w:szCs w:val="1"/>
                <w:color w:val="auto"/>
              </w:rPr>
            </w:pPr>
          </w:p>
        </w:tc>
        <w:tc>
          <w:tcPr>
            <w:tcW w:w="860" w:type="dxa"/>
            <w:vAlign w:val="bottom"/>
            <w:tcBorders>
              <w:top w:val="single" w:sz="8" w:color="auto"/>
            </w:tcBorders>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Three Months Ended June 30, 2023</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37"/>
        </w:trPr>
        <w:tc>
          <w:tcPr>
            <w:tcW w:w="20" w:type="dxa"/>
            <w:vAlign w:val="bottom"/>
          </w:tcPr>
          <w:p>
            <w:pPr>
              <w:spacing w:after="0"/>
              <w:rPr>
                <w:sz w:val="20"/>
                <w:szCs w:val="20"/>
                <w:color w:val="auto"/>
              </w:rPr>
            </w:pPr>
          </w:p>
        </w:tc>
        <w:tc>
          <w:tcPr>
            <w:tcW w:w="4200" w:type="dxa"/>
            <w:vAlign w:val="bottom"/>
            <w:gridSpan w:val="2"/>
          </w:tcPr>
          <w:p>
            <w:pPr>
              <w:spacing w:after="0"/>
              <w:rPr>
                <w:sz w:val="20"/>
                <w:szCs w:val="20"/>
                <w:color w:val="auto"/>
              </w:rPr>
            </w:pPr>
            <w:r>
              <w:rPr>
                <w:rFonts w:ascii="Arial" w:cs="Arial" w:eastAsia="Arial" w:hAnsi="Arial"/>
                <w:sz w:val="18"/>
                <w:szCs w:val="18"/>
                <w:color w:val="auto"/>
              </w:rPr>
              <w:t>Processing and services revenue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1,808</w:t>
            </w:r>
          </w:p>
        </w:tc>
        <w:tc>
          <w:tcPr>
            <w:tcW w:w="420" w:type="dxa"/>
            <w:vAlign w:val="bottom"/>
            <w:gridSpan w:val="3"/>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742</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1,367</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7</w:t>
            </w:r>
          </w:p>
        </w:tc>
        <w:tc>
          <w:tcPr>
            <w:tcW w:w="40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3,924</w:t>
            </w:r>
          </w:p>
        </w:tc>
      </w:tr>
      <w:tr>
        <w:trPr>
          <w:trHeight w:val="236"/>
        </w:trPr>
        <w:tc>
          <w:tcPr>
            <w:tcW w:w="20" w:type="dxa"/>
            <w:vAlign w:val="bottom"/>
            <w:shd w:val="clear" w:color="auto" w:fill="CCEEFF"/>
          </w:tcPr>
          <w:p>
            <w:pPr>
              <w:spacing w:after="0"/>
              <w:rPr>
                <w:sz w:val="20"/>
                <w:szCs w:val="20"/>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Product revenue</w:t>
            </w:r>
          </w:p>
        </w:tc>
        <w:tc>
          <w:tcPr>
            <w:tcW w:w="16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8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2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12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12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832</w:t>
            </w:r>
          </w:p>
        </w:tc>
      </w:tr>
      <w:tr>
        <w:trPr>
          <w:trHeight w:val="223"/>
        </w:trPr>
        <w:tc>
          <w:tcPr>
            <w:tcW w:w="20" w:type="dxa"/>
            <w:vAlign w:val="bottom"/>
          </w:tcPr>
          <w:p>
            <w:pPr>
              <w:spacing w:after="0"/>
              <w:rPr>
                <w:sz w:val="19"/>
                <w:szCs w:val="19"/>
                <w:color w:val="auto"/>
              </w:rPr>
            </w:pPr>
          </w:p>
        </w:tc>
        <w:tc>
          <w:tcPr>
            <w:tcW w:w="4200" w:type="dxa"/>
            <w:vAlign w:val="bottom"/>
            <w:gridSpan w:val="2"/>
          </w:tcPr>
          <w:p>
            <w:pPr>
              <w:ind w:left="340"/>
              <w:spacing w:after="0"/>
              <w:rPr>
                <w:sz w:val="20"/>
                <w:szCs w:val="20"/>
                <w:color w:val="auto"/>
              </w:rPr>
            </w:pPr>
            <w:r>
              <w:rPr>
                <w:rFonts w:ascii="Arial" w:cs="Arial" w:eastAsia="Arial" w:hAnsi="Arial"/>
                <w:sz w:val="18"/>
                <w:szCs w:val="18"/>
                <w:color w:val="auto"/>
              </w:rPr>
              <w:t>Total revenue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2,065</w:t>
            </w:r>
          </w:p>
        </w:tc>
        <w:tc>
          <w:tcPr>
            <w:tcW w:w="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784</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1,645</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4,756</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33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56"/>
        </w:trPr>
        <w:tc>
          <w:tcPr>
            <w:tcW w:w="20" w:type="dxa"/>
            <w:vAlign w:val="bottom"/>
            <w:tcBorders>
              <w:bottom w:val="single" w:sz="8" w:color="CCEEFF"/>
            </w:tcBorders>
            <w:shd w:val="clear" w:color="auto" w:fill="CCEEFF"/>
          </w:tcPr>
          <w:p>
            <w:pPr>
              <w:spacing w:after="0"/>
              <w:rPr>
                <w:sz w:val="21"/>
                <w:szCs w:val="21"/>
                <w:color w:val="auto"/>
              </w:rPr>
            </w:pPr>
          </w:p>
        </w:tc>
        <w:tc>
          <w:tcPr>
            <w:tcW w:w="42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718</w:t>
            </w:r>
          </w:p>
        </w:tc>
        <w:tc>
          <w:tcPr>
            <w:tcW w:w="8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1,131</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33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43"/>
        </w:trPr>
        <w:tc>
          <w:tcPr>
            <w:tcW w:w="20" w:type="dxa"/>
            <w:vAlign w:val="bottom"/>
            <w:shd w:val="clear" w:color="auto" w:fill="CCEEFF"/>
          </w:tcPr>
          <w:p>
            <w:pPr>
              <w:spacing w:after="0"/>
              <w:rPr>
                <w:sz w:val="21"/>
                <w:szCs w:val="21"/>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Three Months Ended June 30, 2022</w:t>
            </w:r>
          </w:p>
        </w:tc>
        <w:tc>
          <w:tcPr>
            <w:tcW w:w="16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r>
      <w:tr>
        <w:trPr>
          <w:trHeight w:val="230"/>
        </w:trPr>
        <w:tc>
          <w:tcPr>
            <w:tcW w:w="20" w:type="dxa"/>
            <w:vAlign w:val="bottom"/>
          </w:tcPr>
          <w:p>
            <w:pPr>
              <w:spacing w:after="0"/>
              <w:rPr>
                <w:sz w:val="19"/>
                <w:szCs w:val="19"/>
                <w:color w:val="auto"/>
              </w:rPr>
            </w:pPr>
          </w:p>
        </w:tc>
        <w:tc>
          <w:tcPr>
            <w:tcW w:w="4200" w:type="dxa"/>
            <w:vAlign w:val="bottom"/>
            <w:gridSpan w:val="2"/>
          </w:tcPr>
          <w:p>
            <w:pPr>
              <w:spacing w:after="0"/>
              <w:rPr>
                <w:sz w:val="20"/>
                <w:szCs w:val="20"/>
                <w:color w:val="auto"/>
              </w:rPr>
            </w:pPr>
            <w:r>
              <w:rPr>
                <w:rFonts w:ascii="Arial" w:cs="Arial" w:eastAsia="Arial" w:hAnsi="Arial"/>
                <w:sz w:val="18"/>
                <w:szCs w:val="18"/>
                <w:color w:val="auto"/>
              </w:rPr>
              <w:t>Processing and services revenue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1,668</w:t>
            </w:r>
          </w:p>
        </w:tc>
        <w:tc>
          <w:tcPr>
            <w:tcW w:w="420" w:type="dxa"/>
            <w:vAlign w:val="bottom"/>
            <w:gridSpan w:val="3"/>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760</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1,262</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w:t>
            </w:r>
          </w:p>
        </w:tc>
        <w:tc>
          <w:tcPr>
            <w:tcW w:w="40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3,696</w:t>
            </w:r>
          </w:p>
        </w:tc>
      </w:tr>
      <w:tr>
        <w:trPr>
          <w:trHeight w:val="230"/>
        </w:trPr>
        <w:tc>
          <w:tcPr>
            <w:tcW w:w="20" w:type="dxa"/>
            <w:vAlign w:val="bottom"/>
            <w:tcBorders>
              <w:bottom w:val="single" w:sz="8" w:color="CCEEFF"/>
            </w:tcBorders>
            <w:shd w:val="clear" w:color="auto" w:fill="CCEEFF"/>
          </w:tcPr>
          <w:p>
            <w:pPr>
              <w:spacing w:after="0"/>
              <w:rPr>
                <w:sz w:val="19"/>
                <w:szCs w:val="19"/>
                <w:color w:val="auto"/>
              </w:rPr>
            </w:pPr>
          </w:p>
        </w:tc>
        <w:tc>
          <w:tcPr>
            <w:tcW w:w="42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Product revenue</w:t>
            </w: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754</w:t>
            </w:r>
          </w:p>
        </w:tc>
      </w:tr>
      <w:tr>
        <w:trPr>
          <w:trHeight w:val="230"/>
        </w:trPr>
        <w:tc>
          <w:tcPr>
            <w:tcW w:w="20" w:type="dxa"/>
            <w:vAlign w:val="bottom"/>
          </w:tcPr>
          <w:p>
            <w:pPr>
              <w:spacing w:after="0"/>
              <w:rPr>
                <w:sz w:val="20"/>
                <w:szCs w:val="20"/>
                <w:color w:val="auto"/>
              </w:rPr>
            </w:pPr>
          </w:p>
        </w:tc>
        <w:tc>
          <w:tcPr>
            <w:tcW w:w="4200" w:type="dxa"/>
            <w:vAlign w:val="bottom"/>
            <w:gridSpan w:val="2"/>
          </w:tcPr>
          <w:p>
            <w:pPr>
              <w:ind w:left="340"/>
              <w:spacing w:after="0"/>
              <w:rPr>
                <w:sz w:val="20"/>
                <w:szCs w:val="20"/>
                <w:color w:val="auto"/>
              </w:rPr>
            </w:pPr>
            <w:r>
              <w:rPr>
                <w:rFonts w:ascii="Arial" w:cs="Arial" w:eastAsia="Arial" w:hAnsi="Arial"/>
                <w:sz w:val="18"/>
                <w:szCs w:val="18"/>
                <w:color w:val="auto"/>
              </w:rPr>
              <w:t>Total revenue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1,901</w:t>
            </w:r>
          </w:p>
        </w:tc>
        <w:tc>
          <w:tcPr>
            <w:tcW w:w="420" w:type="dxa"/>
            <w:vAlign w:val="bottom"/>
            <w:gridSpan w:val="3"/>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803</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1,518</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228</w:t>
            </w:r>
          </w:p>
        </w:tc>
        <w:tc>
          <w:tcPr>
            <w:tcW w:w="40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4,450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334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r>
        <w:trPr>
          <w:trHeight w:val="255"/>
        </w:trPr>
        <w:tc>
          <w:tcPr>
            <w:tcW w:w="20" w:type="dxa"/>
            <w:vAlign w:val="bottom"/>
            <w:tcBorders>
              <w:bottom w:val="single" w:sz="8" w:color="CCEEFF"/>
            </w:tcBorders>
            <w:shd w:val="clear" w:color="auto" w:fill="CCEEFF"/>
          </w:tcPr>
          <w:p>
            <w:pPr>
              <w:spacing w:after="0"/>
              <w:rPr>
                <w:sz w:val="21"/>
                <w:szCs w:val="21"/>
                <w:color w:val="auto"/>
              </w:rPr>
            </w:pPr>
          </w:p>
        </w:tc>
        <w:tc>
          <w:tcPr>
            <w:tcW w:w="42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593</w:t>
            </w:r>
          </w:p>
        </w:tc>
        <w:tc>
          <w:tcPr>
            <w:tcW w:w="8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860</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33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30"/>
        </w:trPr>
        <w:tc>
          <w:tcPr>
            <w:tcW w:w="20" w:type="dxa"/>
            <w:vAlign w:val="bottom"/>
            <w:shd w:val="clear" w:color="auto" w:fill="CCEEFF"/>
          </w:tcPr>
          <w:p>
            <w:pPr>
              <w:spacing w:after="0"/>
              <w:rPr>
                <w:sz w:val="19"/>
                <w:szCs w:val="19"/>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Six Months Ended June 30, 2023</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200" w:type="dxa"/>
            <w:vAlign w:val="bottom"/>
            <w:gridSpan w:val="2"/>
          </w:tcPr>
          <w:p>
            <w:pPr>
              <w:spacing w:after="0"/>
              <w:rPr>
                <w:sz w:val="20"/>
                <w:szCs w:val="20"/>
                <w:color w:val="auto"/>
              </w:rPr>
            </w:pPr>
            <w:r>
              <w:rPr>
                <w:rFonts w:ascii="Arial" w:cs="Arial" w:eastAsia="Arial" w:hAnsi="Arial"/>
                <w:sz w:val="18"/>
                <w:szCs w:val="18"/>
                <w:color w:val="auto"/>
              </w:rPr>
              <w:t>Processing and services revenue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3,395</w:t>
            </w:r>
          </w:p>
        </w:tc>
        <w:tc>
          <w:tcPr>
            <w:tcW w:w="420" w:type="dxa"/>
            <w:vAlign w:val="bottom"/>
            <w:gridSpan w:val="3"/>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1,493</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2,696</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13</w:t>
            </w:r>
          </w:p>
        </w:tc>
        <w:tc>
          <w:tcPr>
            <w:tcW w:w="40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7,597</w:t>
            </w:r>
          </w:p>
        </w:tc>
      </w:tr>
      <w:tr>
        <w:trPr>
          <w:trHeight w:val="243"/>
        </w:trPr>
        <w:tc>
          <w:tcPr>
            <w:tcW w:w="20" w:type="dxa"/>
            <w:vAlign w:val="bottom"/>
            <w:shd w:val="clear" w:color="auto" w:fill="CCEEFF"/>
          </w:tcPr>
          <w:p>
            <w:pPr>
              <w:spacing w:after="0"/>
              <w:rPr>
                <w:sz w:val="21"/>
                <w:szCs w:val="21"/>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Product revenue</w:t>
            </w:r>
          </w:p>
        </w:tc>
        <w:tc>
          <w:tcPr>
            <w:tcW w:w="16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517</w:t>
            </w:r>
          </w:p>
        </w:tc>
        <w:tc>
          <w:tcPr>
            <w:tcW w:w="8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578</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528</w:t>
            </w:r>
          </w:p>
        </w:tc>
        <w:tc>
          <w:tcPr>
            <w:tcW w:w="12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1,706</w:t>
            </w:r>
          </w:p>
        </w:tc>
      </w:tr>
      <w:tr>
        <w:trPr>
          <w:trHeight w:val="223"/>
        </w:trPr>
        <w:tc>
          <w:tcPr>
            <w:tcW w:w="20" w:type="dxa"/>
            <w:vAlign w:val="bottom"/>
          </w:tcPr>
          <w:p>
            <w:pPr>
              <w:spacing w:after="0"/>
              <w:rPr>
                <w:sz w:val="19"/>
                <w:szCs w:val="19"/>
                <w:color w:val="auto"/>
              </w:rPr>
            </w:pPr>
          </w:p>
        </w:tc>
        <w:tc>
          <w:tcPr>
            <w:tcW w:w="4200" w:type="dxa"/>
            <w:vAlign w:val="bottom"/>
            <w:gridSpan w:val="2"/>
          </w:tcPr>
          <w:p>
            <w:pPr>
              <w:ind w:left="340"/>
              <w:spacing w:after="0"/>
              <w:rPr>
                <w:sz w:val="20"/>
                <w:szCs w:val="20"/>
                <w:color w:val="auto"/>
              </w:rPr>
            </w:pPr>
            <w:r>
              <w:rPr>
                <w:rFonts w:ascii="Arial" w:cs="Arial" w:eastAsia="Arial" w:hAnsi="Arial"/>
                <w:sz w:val="18"/>
                <w:szCs w:val="18"/>
                <w:color w:val="auto"/>
              </w:rPr>
              <w:t>Total revenue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3,912</w:t>
            </w:r>
          </w:p>
        </w:tc>
        <w:tc>
          <w:tcPr>
            <w:tcW w:w="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1,576</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3,274</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541</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9,303</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33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2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1,280</w:t>
            </w:r>
          </w:p>
        </w:tc>
        <w:tc>
          <w:tcPr>
            <w:tcW w:w="8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2,065</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33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29"/>
        </w:trPr>
        <w:tc>
          <w:tcPr>
            <w:tcW w:w="20" w:type="dxa"/>
            <w:vAlign w:val="bottom"/>
            <w:shd w:val="clear" w:color="auto" w:fill="CCEEFF"/>
          </w:tcPr>
          <w:p>
            <w:pPr>
              <w:spacing w:after="0"/>
              <w:rPr>
                <w:sz w:val="19"/>
                <w:szCs w:val="19"/>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Six Months Ended June 30, 2022</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7"/>
        </w:trPr>
        <w:tc>
          <w:tcPr>
            <w:tcW w:w="20" w:type="dxa"/>
            <w:vAlign w:val="bottom"/>
          </w:tcPr>
          <w:p>
            <w:pPr>
              <w:spacing w:after="0"/>
              <w:rPr>
                <w:sz w:val="20"/>
                <w:szCs w:val="20"/>
                <w:color w:val="auto"/>
              </w:rPr>
            </w:pPr>
          </w:p>
        </w:tc>
        <w:tc>
          <w:tcPr>
            <w:tcW w:w="4200" w:type="dxa"/>
            <w:vAlign w:val="bottom"/>
            <w:gridSpan w:val="2"/>
          </w:tcPr>
          <w:p>
            <w:pPr>
              <w:spacing w:after="0"/>
              <w:rPr>
                <w:sz w:val="20"/>
                <w:szCs w:val="20"/>
                <w:color w:val="auto"/>
              </w:rPr>
            </w:pPr>
            <w:r>
              <w:rPr>
                <w:rFonts w:ascii="Arial" w:cs="Arial" w:eastAsia="Arial" w:hAnsi="Arial"/>
                <w:sz w:val="18"/>
                <w:szCs w:val="18"/>
                <w:color w:val="auto"/>
              </w:rPr>
              <w:t>Processing and services revenue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3,078</w:t>
            </w:r>
          </w:p>
        </w:tc>
        <w:tc>
          <w:tcPr>
            <w:tcW w:w="420" w:type="dxa"/>
            <w:vAlign w:val="bottom"/>
            <w:gridSpan w:val="3"/>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1,495</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2,477</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10</w:t>
            </w:r>
          </w:p>
        </w:tc>
        <w:tc>
          <w:tcPr>
            <w:tcW w:w="40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7,060</w:t>
            </w:r>
          </w:p>
        </w:tc>
      </w:tr>
      <w:tr>
        <w:trPr>
          <w:trHeight w:val="236"/>
        </w:trPr>
        <w:tc>
          <w:tcPr>
            <w:tcW w:w="20" w:type="dxa"/>
            <w:vAlign w:val="bottom"/>
            <w:shd w:val="clear" w:color="auto" w:fill="CCEEFF"/>
          </w:tcPr>
          <w:p>
            <w:pPr>
              <w:spacing w:after="0"/>
              <w:rPr>
                <w:sz w:val="20"/>
                <w:szCs w:val="20"/>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Product revenue</w:t>
            </w:r>
          </w:p>
        </w:tc>
        <w:tc>
          <w:tcPr>
            <w:tcW w:w="16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476</w:t>
            </w:r>
          </w:p>
        </w:tc>
        <w:tc>
          <w:tcPr>
            <w:tcW w:w="8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2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503</w:t>
            </w:r>
          </w:p>
        </w:tc>
        <w:tc>
          <w:tcPr>
            <w:tcW w:w="12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463</w:t>
            </w:r>
          </w:p>
        </w:tc>
        <w:tc>
          <w:tcPr>
            <w:tcW w:w="12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1,528</w:t>
            </w:r>
          </w:p>
        </w:tc>
      </w:tr>
      <w:tr>
        <w:trPr>
          <w:trHeight w:val="223"/>
        </w:trPr>
        <w:tc>
          <w:tcPr>
            <w:tcW w:w="20" w:type="dxa"/>
            <w:vAlign w:val="bottom"/>
          </w:tcPr>
          <w:p>
            <w:pPr>
              <w:spacing w:after="0"/>
              <w:rPr>
                <w:sz w:val="19"/>
                <w:szCs w:val="19"/>
                <w:color w:val="auto"/>
              </w:rPr>
            </w:pPr>
          </w:p>
        </w:tc>
        <w:tc>
          <w:tcPr>
            <w:tcW w:w="4200" w:type="dxa"/>
            <w:vAlign w:val="bottom"/>
            <w:gridSpan w:val="2"/>
          </w:tcPr>
          <w:p>
            <w:pPr>
              <w:ind w:left="340"/>
              <w:spacing w:after="0"/>
              <w:rPr>
                <w:sz w:val="20"/>
                <w:szCs w:val="20"/>
                <w:color w:val="auto"/>
              </w:rPr>
            </w:pPr>
            <w:r>
              <w:rPr>
                <w:rFonts w:ascii="Arial" w:cs="Arial" w:eastAsia="Arial" w:hAnsi="Arial"/>
                <w:sz w:val="18"/>
                <w:szCs w:val="18"/>
                <w:color w:val="auto"/>
              </w:rPr>
              <w:t>Total revenue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3,554</w:t>
            </w:r>
          </w:p>
        </w:tc>
        <w:tc>
          <w:tcPr>
            <w:tcW w:w="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1,581</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2,980</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473</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8,588</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33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56"/>
        </w:trPr>
        <w:tc>
          <w:tcPr>
            <w:tcW w:w="20" w:type="dxa"/>
            <w:vAlign w:val="bottom"/>
            <w:tcBorders>
              <w:bottom w:val="single" w:sz="8" w:color="CCEEFF"/>
            </w:tcBorders>
            <w:shd w:val="clear" w:color="auto" w:fill="CCEEFF"/>
          </w:tcPr>
          <w:p>
            <w:pPr>
              <w:spacing w:after="0"/>
              <w:rPr>
                <w:sz w:val="21"/>
                <w:szCs w:val="21"/>
                <w:color w:val="auto"/>
              </w:rPr>
            </w:pPr>
          </w:p>
        </w:tc>
        <w:tc>
          <w:tcPr>
            <w:tcW w:w="42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1,063</w:t>
            </w:r>
          </w:p>
        </w:tc>
        <w:tc>
          <w:tcPr>
            <w:tcW w:w="8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1,706</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33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831"/>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20" w:type="dxa"/>
            <w:vAlign w:val="bottom"/>
            <w:gridSpan w:val="3"/>
          </w:tcPr>
          <w:p>
            <w:pPr>
              <w:jc w:val="right"/>
              <w:ind w:right="90"/>
              <w:spacing w:after="0"/>
              <w:rPr>
                <w:sz w:val="20"/>
                <w:szCs w:val="20"/>
                <w:color w:val="auto"/>
              </w:rPr>
            </w:pPr>
            <w:r>
              <w:rPr>
                <w:rFonts w:ascii="Arial" w:cs="Arial" w:eastAsia="Arial" w:hAnsi="Arial"/>
                <w:sz w:val="18"/>
                <w:szCs w:val="18"/>
                <w:color w:val="auto"/>
              </w:rPr>
              <w:t>27</w:t>
            </w: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33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right="1260"/>
        <w:spacing w:after="0" w:line="440"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Forward-Looking Statements</w:t>
      </w:r>
    </w:p>
    <w:p>
      <w:pPr>
        <w:spacing w:after="0" w:line="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This quarterly report contains “forward-looking statements” intended to qualify for the safe harbor from liability established by the Private Securities Litigation Reform Act of 1995. Forward-looking statements include those that express a plan, belief, expectation, estimation, anticipation, intent, contingency, future development, outlook, or similar expression, and can generally be identified as forward-looking because they include words such as “believes,” “anticipates,” “expects,” “could,” “should,” or words of similar meaning. Statements that describe our future plans, objectives or goals are also forward-looking statements.</w:t>
      </w:r>
    </w:p>
    <w:p>
      <w:pPr>
        <w:spacing w:after="0" w:line="134"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The forward-looking statements in this report involve significant risks and uncertainties, and a number of factors, both foreseen and unforeseen, could cause actual results to differ materially from our current expectations. The factors that may affect our results include, among others, the following: our ability to compete effectively against new and existing competitors and to continue to introduce competitive new products and services on a timely, cost-effective basis; changes in customer demand for our products and services; the ability of our technology to keep pace with a rapidly evolving marketplace; the success of our merchant alliances, some of which we do not control; the impact of a security breach or operational failure on our business, including disruptions caused by other participants in the global financial system; losses due to chargebacks, refunds or returns as a result of fraud or the failure of our vendors and merchants to satisfy their obligations; changes in local, regional, national and international economic or political conditions, including those resulting from heightened inflation, rising interest rates, a recession, bank failures, or intensified international hostilities, and the impact they may have on us and our employees, clients, vendors, supply chain, operations and sales; the effect of proposed and enacted legislative and regulatory actions affecting us or the financial services industry as a whole; our ability to comply with government regulations and applicable card association and network rules; the protection and validity of intellectual property rights; the outcome of pending and future litigation and governmental proceedings; our ability to successfully identify, complete and integrate acquisitions, and to realize the anticipated benefits associated with the same; the impact of our strategic initiatives; our ability to attract and retain key personnel; volatility and disruptions in financial markets that may impact our ability to access preferred sources of financing and the terms on which we are able to obtain financing or increase our costs of borrowing; adverse impacts from currency exchange rates or currency controls; changes in corporate tax and interest rates; and other factors identified in "Risk Factors” in our Annual Report on Form 10-K for the year ended December 31, 2022, and in other documents that we file with the Securities and Exchange Commission, which are available at http://www.sec.gov. You should consider these factors carefully in evaluating forward-looking statements and are cautioned not to place undue reliance on such statements, which speak only as of the date of this report. We undertake no obligation to update forward-looking statements to reflect events or circumstances occurring after the date of this report.</w:t>
      </w:r>
    </w:p>
    <w:p>
      <w:pPr>
        <w:spacing w:after="0" w:line="134"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Management’s discussion and analysis of financial condition and results of operations is provided as a supplement to our unaudited consolidated financial statements and accompanying notes to help provide an understanding of our financial condition, the changes in our financial condition and our results of operations. Our discussion is organized as follows:</w:t>
      </w:r>
    </w:p>
    <w:p>
      <w:pPr>
        <w:spacing w:after="0" w:line="130" w:lineRule="exact"/>
        <w:rPr>
          <w:sz w:val="20"/>
          <w:szCs w:val="20"/>
          <w:color w:val="auto"/>
        </w:rPr>
      </w:pPr>
    </w:p>
    <w:p>
      <w:pPr>
        <w:ind w:left="660" w:right="100" w:hanging="328"/>
        <w:spacing w:after="0" w:line="263"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Overview. </w:t>
      </w:r>
      <w:r>
        <w:rPr>
          <w:rFonts w:ascii="Arial" w:cs="Arial" w:eastAsia="Arial" w:hAnsi="Arial"/>
          <w:sz w:val="18"/>
          <w:szCs w:val="18"/>
          <w:color w:val="auto"/>
        </w:rPr>
        <w:t>This section contains background information on our company and the products and services that we provide, acquisitions and</w:t>
      </w:r>
      <w:r>
        <w:rPr>
          <w:rFonts w:ascii="Arial" w:cs="Arial" w:eastAsia="Arial" w:hAnsi="Arial"/>
          <w:sz w:val="18"/>
          <w:szCs w:val="18"/>
          <w:i w:val="1"/>
          <w:iCs w:val="1"/>
          <w:color w:val="auto"/>
        </w:rPr>
        <w:t xml:space="preserve"> </w:t>
      </w:r>
      <w:r>
        <w:rPr>
          <w:rFonts w:ascii="Arial" w:cs="Arial" w:eastAsia="Arial" w:hAnsi="Arial"/>
          <w:sz w:val="18"/>
          <w:szCs w:val="18"/>
          <w:color w:val="auto"/>
        </w:rPr>
        <w:t>dispositions, and the trends affecting our industry in order to provide context for management’s discussion and analysis of our financial condition and results of operations.</w:t>
      </w:r>
    </w:p>
    <w:p>
      <w:pPr>
        <w:spacing w:after="0" w:line="129" w:lineRule="exact"/>
        <w:rPr>
          <w:rFonts w:ascii="Arial" w:cs="Arial" w:eastAsia="Arial" w:hAnsi="Arial"/>
          <w:sz w:val="18"/>
          <w:szCs w:val="18"/>
          <w:color w:val="auto"/>
        </w:rPr>
      </w:pPr>
    </w:p>
    <w:p>
      <w:pPr>
        <w:ind w:left="660" w:right="40" w:hanging="328"/>
        <w:spacing w:after="0" w:line="263"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Changes in critical accounting policies and estimates. </w:t>
      </w:r>
      <w:r>
        <w:rPr>
          <w:rFonts w:ascii="Arial" w:cs="Arial" w:eastAsia="Arial" w:hAnsi="Arial"/>
          <w:sz w:val="18"/>
          <w:szCs w:val="18"/>
          <w:color w:val="auto"/>
        </w:rPr>
        <w:t>This section contains a discussion of changes since our Annual Report on Form 10-K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year ended December 31, 2022 in the accounting policies that we believe are important to our financial condition and results of operations and that require judgment and estimates on the part of management in their application.</w:t>
      </w:r>
    </w:p>
    <w:p>
      <w:pPr>
        <w:spacing w:after="0" w:line="129" w:lineRule="exact"/>
        <w:rPr>
          <w:rFonts w:ascii="Arial" w:cs="Arial" w:eastAsia="Arial" w:hAnsi="Arial"/>
          <w:sz w:val="18"/>
          <w:szCs w:val="18"/>
          <w:color w:val="auto"/>
        </w:rPr>
      </w:pPr>
    </w:p>
    <w:p>
      <w:pPr>
        <w:ind w:left="660" w:right="620" w:hanging="328"/>
        <w:spacing w:after="0" w:line="342" w:lineRule="auto"/>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i w:val="1"/>
          <w:iCs w:val="1"/>
          <w:color w:val="auto"/>
        </w:rPr>
        <w:t xml:space="preserve">Results of operations. </w:t>
      </w:r>
      <w:r>
        <w:rPr>
          <w:rFonts w:ascii="Arial" w:cs="Arial" w:eastAsia="Arial" w:hAnsi="Arial"/>
          <w:sz w:val="16"/>
          <w:szCs w:val="16"/>
          <w:color w:val="auto"/>
        </w:rPr>
        <w:t>This section contains an analysis of our results of operations presented in the accompanying unaudited consolidated</w:t>
      </w:r>
      <w:r>
        <w:rPr>
          <w:rFonts w:ascii="Arial" w:cs="Arial" w:eastAsia="Arial" w:hAnsi="Arial"/>
          <w:sz w:val="16"/>
          <w:szCs w:val="16"/>
          <w:i w:val="1"/>
          <w:iCs w:val="1"/>
          <w:color w:val="auto"/>
        </w:rPr>
        <w:t xml:space="preserve"> </w:t>
      </w:r>
      <w:r>
        <w:rPr>
          <w:rFonts w:ascii="Arial" w:cs="Arial" w:eastAsia="Arial" w:hAnsi="Arial"/>
          <w:sz w:val="16"/>
          <w:szCs w:val="16"/>
          <w:color w:val="auto"/>
        </w:rPr>
        <w:t>statements of income by comparing the results for the three and six months ended June 30, 2023 to the comparable period in 2022.</w:t>
      </w:r>
    </w:p>
    <w:p>
      <w:pPr>
        <w:spacing w:after="0" w:line="69" w:lineRule="exact"/>
        <w:rPr>
          <w:rFonts w:ascii="Arial" w:cs="Arial" w:eastAsia="Arial" w:hAnsi="Arial"/>
          <w:sz w:val="16"/>
          <w:szCs w:val="16"/>
          <w:color w:val="auto"/>
        </w:rPr>
      </w:pPr>
    </w:p>
    <w:p>
      <w:pPr>
        <w:ind w:left="660" w:hanging="328"/>
        <w:spacing w:after="0"/>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i w:val="1"/>
          <w:iCs w:val="1"/>
          <w:color w:val="auto"/>
        </w:rPr>
        <w:t xml:space="preserve">Liquidity and capital resources. </w:t>
      </w:r>
      <w:r>
        <w:rPr>
          <w:rFonts w:ascii="Arial" w:cs="Arial" w:eastAsia="Arial" w:hAnsi="Arial"/>
          <w:sz w:val="16"/>
          <w:szCs w:val="16"/>
          <w:color w:val="auto"/>
        </w:rPr>
        <w:t>This section provides an analysis of our cash flows and a discussion of our outstanding debt at June 30, 2023.</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Company Background</w:t>
      </w:r>
    </w:p>
    <w:p>
      <w:pPr>
        <w:spacing w:after="0" w:line="17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We are a leading global provider of payments and financial services technology solutions. We serve clients around the globe, including merchants, banks, credit unions, other financial institutions and corporate clients. We provide account processing and</w:t>
      </w:r>
    </w:p>
    <w:p>
      <w:pPr>
        <w:spacing w:after="0" w:line="200" w:lineRule="exact"/>
        <w:rPr>
          <w:sz w:val="20"/>
          <w:szCs w:val="20"/>
          <w:color w:val="auto"/>
        </w:rPr>
      </w:pPr>
    </w:p>
    <w:p>
      <w:pPr>
        <w:spacing w:after="0" w:line="3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right="100"/>
        <w:spacing w:after="0" w:line="229" w:lineRule="auto"/>
        <w:rPr>
          <w:sz w:val="20"/>
          <w:szCs w:val="20"/>
          <w:color w:val="auto"/>
        </w:rPr>
      </w:pPr>
      <w:r>
        <w:rPr>
          <w:rFonts w:ascii="Arial" w:cs="Arial" w:eastAsia="Arial" w:hAnsi="Arial"/>
          <w:sz w:val="18"/>
          <w:szCs w:val="18"/>
          <w:color w:val="auto"/>
        </w:rPr>
        <w:t>digital banking solutions; card issuer processing and network services; payments; e-commerce; merchant acquiring and processing; and the Clover</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cloud-based point-of-sale (“POS”) and business management platform.</w:t>
      </w:r>
    </w:p>
    <w:p>
      <w:pPr>
        <w:spacing w:after="0" w:line="14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aspire to move money and information in a way that moves the world. Our purpose is to deliver superior value for our clients through leading technology, targeted innovation and excellence in everything we do. We are focused on driving growth and creating value by assembling a high-performing and diverse team, integrating our solutions, delivering operational excellence, allocating capital in a disciplined manner, including share repurchase and merger and acquisition activity, and delivering breakthrough innovation.</w:t>
      </w:r>
    </w:p>
    <w:p>
      <w:pPr>
        <w:spacing w:after="0" w:line="133"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Our operations are comprised of the Merchant Acceptance (“Acceptance”) segment, the Financial Technology (“Fintech”) segment and the Payments and Network (“Payments”) segment.</w:t>
      </w:r>
    </w:p>
    <w:p>
      <w:pPr>
        <w:spacing w:after="0" w:line="116" w:lineRule="exact"/>
        <w:rPr>
          <w:sz w:val="20"/>
          <w:szCs w:val="20"/>
          <w:color w:val="auto"/>
        </w:rPr>
      </w:pPr>
    </w:p>
    <w:p>
      <w:pPr>
        <w:ind w:right="120"/>
        <w:spacing w:after="0" w:line="259" w:lineRule="auto"/>
        <w:rPr>
          <w:sz w:val="20"/>
          <w:szCs w:val="20"/>
          <w:color w:val="auto"/>
        </w:rPr>
      </w:pPr>
      <w:r>
        <w:rPr>
          <w:rFonts w:ascii="Arial" w:cs="Arial" w:eastAsia="Arial" w:hAnsi="Arial"/>
          <w:sz w:val="17"/>
          <w:szCs w:val="17"/>
          <w:color w:val="auto"/>
        </w:rPr>
        <w:t>The businesses in our Acceptance segment provide a wide range of commerce-enabling solutions and serve merchants of all sizes around the world. These solutions include POS merchant acquiring and digital commerce services; mobile payment services; security and fraud protection products; Clover, our cloud-based POS and integrated commerce operating system for small and mid-sized businesses (“SMBs”) and independent software vendors (“ISVs”); and Carat</w:t>
      </w:r>
      <w:r>
        <w:rPr>
          <w:rFonts w:ascii="Arial" w:cs="Arial" w:eastAsia="Arial" w:hAnsi="Arial"/>
          <w:sz w:val="22"/>
          <w:szCs w:val="22"/>
          <w:color w:val="auto"/>
          <w:vertAlign w:val="superscript"/>
        </w:rPr>
        <w:t>SM</w:t>
      </w:r>
      <w:r>
        <w:rPr>
          <w:rFonts w:ascii="Arial" w:cs="Arial" w:eastAsia="Arial" w:hAnsi="Arial"/>
          <w:sz w:val="17"/>
          <w:szCs w:val="17"/>
          <w:color w:val="auto"/>
        </w:rPr>
        <w:t>, our integrated operating system for large businesses. We distribute the products and services in the Acceptance segment businesses through a variety of channels, including direct sales teams, strategic partnerships with agent sales forces, ISVs, financial institutions, and other strategic partners in the form of joint venture alliances, revenue sharing alliances, and referral agreements. Merchants, financial institutions and distribution partners in the Acceptance segment are frequently clients of our other segments.</w:t>
      </w:r>
    </w:p>
    <w:p>
      <w:pPr>
        <w:spacing w:after="0" w:line="13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businesses in our Fintech segment provide financial institutions around the world with technology solutions they need to run their operations, including products and services that enable financial institutions to process customer deposit and loan accounts and manage an institution's general ledger and central information files. As a complement to the core account processing functionality, the Fintech segment businesses also provide digital banking, financial and risk management, professional services and consulting, item processing and source capture, and other products and services that support numerous types of financial transactions. Certain of the businesses in the Fintech segment provide products or services to corporate clients to facilitate the management of financial processes and transactions. Many of the products and services offered in the Fintech segment are integrated with products and services provided by our other segments.</w:t>
      </w:r>
    </w:p>
    <w:p>
      <w:pPr>
        <w:spacing w:after="0" w:line="141"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The businesses in our Payments segment provide financial institutions and corporate and public sector clients with the products and services required to process digital payment transactions. This includes card transactions such as debit, credit and prepaid card processing and services; a range of network services; security and fraud protection products; and card production and print services. In addition, the Payments segment businesses offer non-card digital payment software and services, including bill payment, account-to-account transfers, person-to-person payments, electronic billing, and security and fraud protection products. Clients of the Payments segment businesses reflect a wide range of industries around the world, including merchants, distribution partners and financial institution customers in our other segments.</w:t>
      </w:r>
    </w:p>
    <w:p>
      <w:pPr>
        <w:spacing w:after="0" w:line="124"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Corporate and Other supports the reportable segments described above, and consists of amortization of acquisition-related intangible assets, unallocated corporate expenses and other activities that are not considered when we evaluate segment performance, such as gains or losses on sales of businesses, certain assets or investments; costs associated with acquisition and divestiture activity; certain services revenue associated with various dispositions; and our Output Solutions postage reimbursements.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Acquisitions and Dispositions</w:t>
      </w:r>
    </w:p>
    <w:p>
      <w:pPr>
        <w:spacing w:after="0" w:line="171"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We frequently review our businesses to ensure we have the necessary assets to execute our strategy. We expect to acquire businesses when we identify: a compelling strategic need, such as a product, service or technology that helps meet client demand; an opportunity to change industry dynamics; a way to achieve business scale that enables competition and operational efficiency; or similar considerations. We expect to divest businesses that are not in line with our market, product or financial strategies. The results of operations for the following acquired and divested businesses are included in our consolidated results from the respective dates of acquisition and through the respective dates of disposition.</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Acquisitions</w:t>
      </w:r>
    </w:p>
    <w:p>
      <w:pPr>
        <w:spacing w:after="0" w:line="171" w:lineRule="exact"/>
        <w:rPr>
          <w:sz w:val="20"/>
          <w:szCs w:val="20"/>
          <w:color w:val="auto"/>
        </w:rPr>
      </w:pPr>
    </w:p>
    <w:p>
      <w:pPr>
        <w:ind w:right="120"/>
        <w:spacing w:after="0" w:line="296" w:lineRule="auto"/>
        <w:rPr>
          <w:sz w:val="20"/>
          <w:szCs w:val="20"/>
          <w:color w:val="auto"/>
        </w:rPr>
      </w:pPr>
      <w:r>
        <w:rPr>
          <w:rFonts w:ascii="Arial" w:cs="Arial" w:eastAsia="Arial" w:hAnsi="Arial"/>
          <w:sz w:val="16"/>
          <w:szCs w:val="16"/>
          <w:color w:val="auto"/>
        </w:rPr>
        <w:t>On December 29, 2022, we acquired OrangeData S.A. (“Yacaré”), an Argentina-based payment service provider that enables customers to transact at merchant locations using QR codes. Yacaré is included within the Acceptance segment and enhances our instant payment transaction capabilities. On December 20, 2022, we acquired Merchant One, Inc. (“Merchant One”), an independent sales organization (“ISO”) focused on acquiring merchants in the restaurant, retail and e-commerce industries using an innovative mix of direct and digital marketing strategies. Merchant One is included within the Acceptance segment and enhances our merchant distribution and sales force channels. On September 1, 2022, we acquired NexTable, Inc.</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(“NexTable”), a provider of cloud-based reservation and table management solutions for restaurants. NexTable is included within the Acceptance segment and expands our end-to-end restaurant solutions. On June 1, 2022, we acquired The LR2 Group, LLC (“City POS”), an ISO that promotes payment processing services and facilitates the sale of POS equipment for merchants. City POS is included within the Acceptance segment and expands our merchant services business. On April 1, 2022, we acquired a remaining ownership interest in Finxact, Inc. (“Finxact”), a developer of cloud-native banking solutions powering digital transformation throughout the financial services sector. Finxact is included within the Fintech segment and advances our digital banking strategy, expanding our account processing, digital, and payments solutions. We acquired these businesses in 2022 for an aggregate purchase price of $994 million, net of $28 million of acquired cash, and including earn-out provisions estimated at a fair value of $6 million.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Dispositions</w:t>
      </w:r>
    </w:p>
    <w:p>
      <w:pPr>
        <w:spacing w:after="0" w:line="171"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In June 2023, we entered into an agreement to sell our financial reconciliation business. The transaction closed on July 25, 2023, for net cash proceeds of approximately $230 million, subject to customary adjustments. We expect to recognize a pre-tax gain on the sale of approximately $160 million. The financial reconciliation business was reported within our Fintech segment.</w:t>
      </w:r>
    </w:p>
    <w:p>
      <w:pPr>
        <w:spacing w:after="0" w:line="130"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On October 17, 2022, we sold Fiserv Costa Rica, S.A. and our Systems Integration Services (“SIS”) operations, which provides information technology engineering services in the United States (“U.S.”) and India, to a single buyer. Fiserv Costa Rica, S.A. and SIS were reported primarily within our Fintech segment. On September 30, 2022, we sold our Korea operations, which were reported in our Acceptance segment. We sold these operations in 2022 for total consideration of $99 million and recognized an aggregate net pre-tax loss on the sales of $83 million. During the first six months of 2023, we recognized a pre-tax loss of $3 million associated with final working capital adjustments related to the disposition of Fiserv Costa Rica, S.A. These divestitures were the result of a strategic review of our business portfolio.</w:t>
      </w:r>
    </w:p>
    <w:p>
      <w:pPr>
        <w:spacing w:after="0" w:line="124"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In 2021, we mutually agreed with a minority partner to terminate one of our merchant alliance joint ventures effective March 2022. In conjunction with such termination, the joint venture minority partner elected to exercise its option to purchase certain additional merchant contracts of the joint venture for $175 million, resulting in the recognition of a pre-tax gain of $147 million in the first six months of 2022.</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Industry Trends</w:t>
      </w:r>
    </w:p>
    <w:p>
      <w:pPr>
        <w:spacing w:after="0" w:line="17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global payments landscape continues to evolve, with rapidly advancing technologies and a steady expansion of digital payments, e-commerce and real-time payments infrastructure. Because of this growth, competition also continues to intensify. Business and consumer expectations continue to rise, with a focus on speed, convenience, choice and security. To meet these expectations, payments companies are focused on modernizing their technology, expanding the use of data and enhancing the customer experience.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Merchants</w:t>
      </w:r>
    </w:p>
    <w:p>
      <w:pPr>
        <w:spacing w:after="0" w:line="171"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The rapid growth in and globalization of mobile and e-commerce, driven by consumers’ desire for simpler, more efficient shopping experiences, has created an opportunity for merchants to reach consumers nearly anywhere, through any device, which often requires a merchant acquiring provider to enable and optimize the acceptance of payments. Merchants are demanding simpler, integrated and flexible systems to accept payments and help manage their everyday business operations. When combined with the ever-increasing ways a consumer can pay for goods and services, merchants have sought modern systems to streamline the complexity. Furthermore, merchants can now search, discover, compare, purchase and even install a new system through direct, digital-only experiences. This direct, digital-only channel is a source of new merchant acquisition opportunities, especially with respect to smaller merchants.</w:t>
      </w:r>
    </w:p>
    <w:p>
      <w:pPr>
        <w:spacing w:after="0" w:line="141"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Additionally, there are numerous software-as-a-service (“SaaS”) solution providers in the industry, many of which have chosen to integrate merchant acquiring into their software as a way to further monetize their client relationships. Such providers are typically referred to as ISVs, and we believe there are thousands of these potential distribution partnership opportunities available to us.</w:t>
      </w:r>
    </w:p>
    <w:p>
      <w:pPr>
        <w:spacing w:after="0" w:line="130"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We believe that our merchant acquiring products and solutions create compelling value propositions for merchant clients of all sizes, from small and mid-sized businesses to medium-sized regional businesses to global enterprise merchants, and across all verticals. Furthermore, we believe that our sizable and diverse client base, combined with valued partnerships with merchant acquiring businesses of financial and non-financial institutions of all sizes, gives us a solid foundation for growth.</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Financial Institutions and Other Financial Technology Providers</w:t>
      </w:r>
    </w:p>
    <w:p>
      <w:pPr>
        <w:spacing w:after="0" w:line="171"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Financial services providers regularly introduce and implement new payment, deposit, risk management, lending and investment products, and the distinctions among the products and services traditionally offered by different types of financial</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institutions and other financial technology providers continue to narrow as they seek to serve the same customers. At the same time, the evolving global regulatory and cybersecurity landscape has continued to create a challenging operating environment for financial institutions. These conditions are driving heightened interest in solutions that help financial institutions win and retain customers, generate incremental revenue, comply with regulations and enhance operating efficiency. In addition, the focus on the customer experience, including through mobile and online engagement, by both financial institutions and their customers, as well as the growing volume and types of payment transactions in the marketplace, continues to elevate the data and transaction processing needs of financial institutions.</w:t>
      </w:r>
    </w:p>
    <w:p>
      <w:pPr>
        <w:spacing w:after="0" w:line="138"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We expect that financial institutions and other financial technology providers will continue to invest significant capital and human resources to process transactions, manage information, maintain regulatory compliance and offer innovative new services to their customers in this rapidly evolving and competitive environment. We anticipate that we will benefit over the long term from the trend of financial institutions moving from in-house technology to outsourced solutions as they seek to remain current on technology changes in an evolving marketplace. We believe that economies of scale in developing and maintaining the infrastructure, technology, products, services and networks necessary to be competitive in such an environment are essential to justify these investments, and we anticipate that demand for products that facilitate customer interaction with financial institutions, including a unified, seamless customer experience across mobile and online channels, will continue to increase, which we expect to create revenue opportunities for us.</w:t>
      </w:r>
    </w:p>
    <w:p>
      <w:pPr>
        <w:spacing w:after="0" w:line="112"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The number of financial institutions in the U.S. has declined at a relatively steady rate, primarily as a result of voluntary mergers and acquisitions. Rather than reducing the overall market, these consolidations transfer accounts among financial institutions. If a client loss occurs due to merger or acquisition, we typically receive a contract termination fee based on the size of the client and how early in the contract term the contract is terminated. These fees can vary from period to period depending on the level of financial institution merger activity and whether our clients are involved. Our focus on long-term client relationships and recurring, transaction-oriented products and services has also reduced the impact that consolidation in the financial services industry has had on us. We believe that the integration of our products and services creates a compelling value proposition for our clients by providing, among other things, new sources of revenue and opportunities to reduce their costs. Furthermore, we believe that our sizable and diverse client base, combined with our position as a leading provider of non-discretionary, recurring revenue-based products and services, gives us a solid foundation for growth.</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Recent Market Conditions</w:t>
      </w:r>
    </w:p>
    <w:p>
      <w:pPr>
        <w:spacing w:after="0" w:line="239" w:lineRule="exact"/>
        <w:rPr>
          <w:sz w:val="20"/>
          <w:szCs w:val="20"/>
          <w:color w:val="auto"/>
        </w:rPr>
      </w:pPr>
    </w:p>
    <w:p>
      <w:pPr>
        <w:spacing w:after="0" w:line="270" w:lineRule="auto"/>
        <w:rPr>
          <w:sz w:val="20"/>
          <w:szCs w:val="20"/>
          <w:color w:val="auto"/>
        </w:rPr>
      </w:pPr>
      <w:r>
        <w:rPr>
          <w:rFonts w:ascii="Arial" w:cs="Arial" w:eastAsia="Arial" w:hAnsi="Arial"/>
          <w:sz w:val="16"/>
          <w:szCs w:val="16"/>
          <w:color w:val="auto"/>
        </w:rPr>
        <w:t>Global macroeconomic conditions, including rising interest rates, inflation, bank failures, disruptions in the global supply chain, the effects of the ongoing conflict between Russia and Ukraine, and regulations restricting trade or impacting our ability to offer products or services, could have a material adverse effect on our business, results of operations and financial condition. While recent bank failures have created uncertainty in the global financial markets, they did not have a material impact on our operating results. However, future bank failures could impact our receivable collections and cash flows or affect our ability to find merchant alliance partners. In addition, in recent years, we have observed increased shortages and delays in the global supply chain for components and inputs necessary to our businesses, such as semiconductors, paper and plastic, and may experience difficulty procuring those components and inputs in the future on a timely basis or at historical prices. We continue to monitor and actively manage our business in response to these unpredictable geopolitical and market conditions, as they may adversely impact our operations and financial results.</w:t>
      </w:r>
    </w:p>
    <w:p>
      <w:pPr>
        <w:spacing w:after="0" w:line="126" w:lineRule="exact"/>
        <w:rPr>
          <w:sz w:val="20"/>
          <w:szCs w:val="20"/>
          <w:color w:val="auto"/>
        </w:rPr>
      </w:pPr>
    </w:p>
    <w:p>
      <w:pPr>
        <w:ind w:right="320"/>
        <w:spacing w:after="0" w:line="279" w:lineRule="auto"/>
        <w:rPr>
          <w:sz w:val="20"/>
          <w:szCs w:val="20"/>
          <w:color w:val="auto"/>
        </w:rPr>
      </w:pPr>
      <w:r>
        <w:rPr>
          <w:rFonts w:ascii="Arial" w:cs="Arial" w:eastAsia="Arial" w:hAnsi="Arial"/>
          <w:sz w:val="17"/>
          <w:szCs w:val="17"/>
          <w:color w:val="auto"/>
        </w:rPr>
        <w:t>In addition, our operating results in certain foreign countries in which we operate may be adversely impacted by fluctuations in exchange rates for currencies other than the U.S. dollar, including the Euro, British pound sterling and Argentine peso. The strengthening of the U.S. dollar against certain foreign currencies in countries in which we operate would negatively impact our revenue and earnings. While the majority of our revenue is earned domestically, we continually monitor the foreign exchange rate environment in an effort to help mitigate these risks.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Critical Accounting Policies and Estimates</w:t>
      </w:r>
    </w:p>
    <w:p>
      <w:pPr>
        <w:spacing w:after="0" w:line="171"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Our consolidated financial statements and accompanying notes have been prepared in accordance with accounting principles generally accepted in the U.S., which require management to make estimates, judgments and assumptions that affect the reported amount of assets, liabilities, revenue and expenses. In our Annual Report on Form 10-K for the year ended December 31, 2022, we identified our critical accounting policies and estimates. We continually evaluate the accounting policies and estimates that we use to prepare our consolidated financial statements, including for recently adopted accounting pronouncements, and base our estimates on historical experience and assumptions that we believe are reasonable in light of current circumstances. Actual amounts and results could differ materially from these estimates. For example, we estimate the fair values of assets acquired and liabilities assumed in connection with acquisitions and may record purchase accounting adjustments during the measurement period, which may be up to one year from the acquisition date. Additionally, we review the carrying value of goodwill for impairment by comparing the estimated fair value of our reporting units to their carrying values. Determining the fair value of a reporting unit involves judgement and the use of significant estimates and assumptions,</w:t>
      </w: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which include assumptions regarding the revenue growth rates and operating margins used to calculate estimated future cash flows, risk-adjusted discount rates and future economic and market conditions. There have been no material changes to our critical accounting policies and estimates from those disclosed in our Annual Report on Form 10-K for the year ended December 31, 2022.</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17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following table presents certain amounts included in our consolidated statements of income, the relative percentage that those amounts represent to revenue and the change in those amounts from year to year. This information should be read together with the unaudited consolidated financial statements and accompanying notes. The unaudited financial results presented below have been affected by acquisitions, dispositions, and foreign currency fluctuations.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gridSpan w:val="5"/>
          </w:tcPr>
          <w:p>
            <w:pPr>
              <w:ind w:left="120"/>
              <w:spacing w:after="0"/>
              <w:rPr>
                <w:sz w:val="20"/>
                <w:szCs w:val="20"/>
                <w:color w:val="auto"/>
              </w:rPr>
            </w:pPr>
            <w:r>
              <w:rPr>
                <w:rFonts w:ascii="Arial" w:cs="Arial" w:eastAsia="Arial" w:hAnsi="Arial"/>
                <w:sz w:val="18"/>
                <w:szCs w:val="18"/>
                <w:b w:val="1"/>
                <w:bCs w:val="1"/>
                <w:color w:val="auto"/>
                <w:w w:val="91"/>
              </w:rPr>
              <w:t>Three Months Ended June 30,</w:t>
            </w:r>
          </w:p>
        </w:tc>
        <w:tc>
          <w:tcPr>
            <w:tcW w:w="2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80" w:type="dxa"/>
            <w:vAlign w:val="bottom"/>
            <w:gridSpan w:val="5"/>
          </w:tcPr>
          <w:p>
            <w:pPr>
              <w:jc w:val="center"/>
              <w:ind w:right="120"/>
              <w:spacing w:after="0"/>
              <w:rPr>
                <w:sz w:val="20"/>
                <w:szCs w:val="20"/>
                <w:color w:val="auto"/>
              </w:rPr>
            </w:pPr>
            <w:r>
              <w:rPr>
                <w:rFonts w:ascii="Arial" w:cs="Arial" w:eastAsia="Arial" w:hAnsi="Arial"/>
                <w:sz w:val="18"/>
                <w:szCs w:val="18"/>
                <w:b w:val="1"/>
                <w:bCs w:val="1"/>
                <w:color w:val="auto"/>
                <w:w w:val="87"/>
              </w:rPr>
              <w:t>Percentage of</w:t>
            </w: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2"/>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20" w:type="dxa"/>
            <w:vAlign w:val="bottom"/>
            <w:tcBorders>
              <w:bottom w:val="single" w:sz="8" w:color="auto"/>
            </w:tcBorders>
            <w:gridSpan w:val="3"/>
          </w:tcPr>
          <w:p>
            <w:pPr>
              <w:jc w:val="center"/>
              <w:ind w:left="650"/>
              <w:spacing w:after="0"/>
              <w:rPr>
                <w:sz w:val="20"/>
                <w:szCs w:val="20"/>
                <w:color w:val="auto"/>
              </w:rPr>
            </w:pPr>
            <w:r>
              <w:rPr>
                <w:rFonts w:ascii="Arial" w:cs="Arial" w:eastAsia="Arial" w:hAnsi="Arial"/>
                <w:sz w:val="18"/>
                <w:szCs w:val="18"/>
                <w:b w:val="1"/>
                <w:bCs w:val="1"/>
                <w:color w:val="auto"/>
                <w:w w:val="84"/>
              </w:rPr>
              <w:t xml:space="preserve">Revenue </w:t>
            </w:r>
            <w:r>
              <w:rPr>
                <w:rFonts w:ascii="Arial" w:cs="Arial" w:eastAsia="Arial" w:hAnsi="Arial"/>
                <w:sz w:val="23"/>
                <w:szCs w:val="23"/>
                <w:b w:val="1"/>
                <w:bCs w:val="1"/>
                <w:color w:val="auto"/>
                <w:w w:val="84"/>
                <w:vertAlign w:val="superscript"/>
              </w:rPr>
              <w:t>(1)</w:t>
            </w:r>
          </w:p>
        </w:tc>
        <w:tc>
          <w:tcPr>
            <w:tcW w:w="7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gridSpan w:val="3"/>
          </w:tcPr>
          <w:p>
            <w:pPr>
              <w:jc w:val="right"/>
              <w:ind w:right="310"/>
              <w:spacing w:after="0"/>
              <w:rPr>
                <w:sz w:val="20"/>
                <w:szCs w:val="20"/>
                <w:color w:val="auto"/>
              </w:rPr>
            </w:pPr>
            <w:r>
              <w:rPr>
                <w:rFonts w:ascii="Arial" w:cs="Arial" w:eastAsia="Arial" w:hAnsi="Arial"/>
                <w:sz w:val="18"/>
                <w:szCs w:val="18"/>
                <w:b w:val="1"/>
                <w:bCs w:val="1"/>
                <w:color w:val="auto"/>
                <w:w w:val="95"/>
              </w:rPr>
              <w:t>Increase (Decrease)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100" w:type="dxa"/>
            <w:vAlign w:val="bottom"/>
            <w:gridSpan w:val="2"/>
          </w:tcPr>
          <w:p>
            <w:pPr>
              <w:spacing w:after="0"/>
              <w:rPr>
                <w:sz w:val="20"/>
                <w:szCs w:val="20"/>
                <w:color w:val="auto"/>
              </w:rPr>
            </w:pPr>
            <w:r>
              <w:rPr>
                <w:rFonts w:ascii="Arial" w:cs="Arial" w:eastAsia="Arial" w:hAnsi="Arial"/>
                <w:sz w:val="16"/>
                <w:szCs w:val="16"/>
                <w:b w:val="1"/>
                <w:bCs w:val="1"/>
                <w:color w:val="auto"/>
              </w:rPr>
              <w:t>(In millions)</w:t>
            </w:r>
          </w:p>
        </w:tc>
        <w:tc>
          <w:tcPr>
            <w:tcW w:w="200" w:type="dxa"/>
            <w:vAlign w:val="bottom"/>
          </w:tcPr>
          <w:p>
            <w:pPr>
              <w:spacing w:after="0"/>
              <w:rPr>
                <w:sz w:val="17"/>
                <w:szCs w:val="17"/>
                <w:color w:val="auto"/>
              </w:rPr>
            </w:pPr>
          </w:p>
        </w:tc>
        <w:tc>
          <w:tcPr>
            <w:tcW w:w="800" w:type="dxa"/>
            <w:vAlign w:val="bottom"/>
          </w:tcPr>
          <w:p>
            <w:pPr>
              <w:jc w:val="right"/>
              <w:ind w:right="230"/>
              <w:spacing w:after="0" w:line="196" w:lineRule="exact"/>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ind w:right="250"/>
              <w:spacing w:after="0" w:line="196" w:lineRule="exact"/>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7"/>
                <w:szCs w:val="17"/>
                <w:color w:val="auto"/>
              </w:rPr>
            </w:pPr>
          </w:p>
        </w:tc>
        <w:tc>
          <w:tcPr>
            <w:tcW w:w="1140" w:type="dxa"/>
            <w:vAlign w:val="bottom"/>
          </w:tcPr>
          <w:p>
            <w:pPr>
              <w:jc w:val="right"/>
              <w:ind w:right="310"/>
              <w:spacing w:after="0" w:line="196" w:lineRule="exact"/>
              <w:rPr>
                <w:sz w:val="20"/>
                <w:szCs w:val="20"/>
                <w:color w:val="auto"/>
              </w:rPr>
            </w:pPr>
            <w:r>
              <w:rPr>
                <w:rFonts w:ascii="Arial" w:cs="Arial" w:eastAsia="Arial" w:hAnsi="Arial"/>
                <w:sz w:val="18"/>
                <w:szCs w:val="18"/>
                <w:b w:val="1"/>
                <w:bCs w:val="1"/>
                <w:color w:val="auto"/>
              </w:rPr>
              <w:t>2023</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60" w:type="dxa"/>
            <w:vAlign w:val="bottom"/>
          </w:tcPr>
          <w:p>
            <w:pPr>
              <w:jc w:val="right"/>
              <w:ind w:right="310"/>
              <w:spacing w:after="0" w:line="196" w:lineRule="exact"/>
              <w:rPr>
                <w:sz w:val="20"/>
                <w:szCs w:val="20"/>
                <w:color w:val="auto"/>
              </w:rPr>
            </w:pPr>
            <w:r>
              <w:rPr>
                <w:rFonts w:ascii="Arial" w:cs="Arial" w:eastAsia="Arial" w:hAnsi="Arial"/>
                <w:sz w:val="18"/>
                <w:szCs w:val="18"/>
                <w:b w:val="1"/>
                <w:bCs w:val="1"/>
                <w:color w:val="auto"/>
                <w:w w:val="84"/>
              </w:rPr>
              <w:t>2022</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jc w:val="right"/>
              <w:ind w:right="390"/>
              <w:spacing w:after="0" w:line="196" w:lineRule="exact"/>
              <w:rPr>
                <w:sz w:val="20"/>
                <w:szCs w:val="20"/>
                <w:color w:val="auto"/>
              </w:rPr>
            </w:pPr>
            <w:r>
              <w:rPr>
                <w:rFonts w:ascii="Arial" w:cs="Arial" w:eastAsia="Arial" w:hAnsi="Arial"/>
                <w:sz w:val="18"/>
                <w:szCs w:val="18"/>
                <w:b w:val="1"/>
                <w:bCs w:val="1"/>
                <w:color w:val="auto"/>
              </w:rPr>
              <w:t>$</w:t>
            </w:r>
          </w:p>
        </w:tc>
        <w:tc>
          <w:tcPr>
            <w:tcW w:w="1260" w:type="dxa"/>
            <w:vAlign w:val="bottom"/>
            <w:gridSpan w:val="2"/>
          </w:tcPr>
          <w:p>
            <w:pPr>
              <w:jc w:val="right"/>
              <w:ind w:right="390"/>
              <w:spacing w:after="0" w:line="196" w:lineRule="exact"/>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32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100" w:type="dxa"/>
            <w:vAlign w:val="bottom"/>
            <w:gridSpan w:val="2"/>
          </w:tcPr>
          <w:p>
            <w:pPr>
              <w:ind w:left="340"/>
              <w:spacing w:after="0"/>
              <w:rPr>
                <w:sz w:val="20"/>
                <w:szCs w:val="20"/>
                <w:color w:val="auto"/>
              </w:rPr>
            </w:pPr>
            <w:r>
              <w:rPr>
                <w:rFonts w:ascii="Arial" w:cs="Arial" w:eastAsia="Arial" w:hAnsi="Arial"/>
                <w:sz w:val="18"/>
                <w:szCs w:val="18"/>
                <w:color w:val="auto"/>
              </w:rPr>
              <w:t>Processing and services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3,924</w:t>
            </w:r>
          </w:p>
        </w:tc>
        <w:tc>
          <w:tcPr>
            <w:tcW w:w="3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3,696</w:t>
            </w:r>
          </w:p>
        </w:tc>
        <w:tc>
          <w:tcPr>
            <w:tcW w:w="1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82.5 %</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83.1 %</w:t>
            </w:r>
          </w:p>
        </w:tc>
        <w:tc>
          <w:tcPr>
            <w:tcW w:w="10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228</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6 %</w:t>
            </w:r>
          </w:p>
        </w:tc>
        <w:tc>
          <w:tcPr>
            <w:tcW w:w="0" w:type="dxa"/>
            <w:vAlign w:val="bottom"/>
          </w:tcPr>
          <w:p>
            <w:pPr>
              <w:spacing w:after="0"/>
              <w:rPr>
                <w:sz w:val="1"/>
                <w:szCs w:val="1"/>
                <w:color w:val="auto"/>
              </w:rPr>
            </w:pPr>
          </w:p>
        </w:tc>
      </w:tr>
      <w:tr>
        <w:trPr>
          <w:trHeight w:val="236"/>
        </w:trPr>
        <w:tc>
          <w:tcPr>
            <w:tcW w:w="20" w:type="dxa"/>
            <w:vAlign w:val="bottom"/>
            <w:tcBorders>
              <w:bottom w:val="single" w:sz="8" w:color="CCEEFF"/>
            </w:tcBorders>
            <w:shd w:val="clear" w:color="auto" w:fill="CCEEFF"/>
          </w:tcPr>
          <w:p>
            <w:pPr>
              <w:spacing w:after="0"/>
              <w:rPr>
                <w:sz w:val="20"/>
                <w:szCs w:val="20"/>
                <w:color w:val="auto"/>
              </w:rPr>
            </w:pPr>
          </w:p>
        </w:tc>
        <w:tc>
          <w:tcPr>
            <w:tcW w:w="41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Product</w:t>
            </w:r>
          </w:p>
        </w:tc>
        <w:tc>
          <w:tcPr>
            <w:tcW w:w="20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832</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754</w:t>
            </w:r>
          </w:p>
        </w:tc>
        <w:tc>
          <w:tcPr>
            <w:tcW w:w="1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17.5 %</w:t>
            </w:r>
          </w:p>
        </w:tc>
        <w:tc>
          <w:tcPr>
            <w:tcW w:w="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16.9 %</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00" w:type="dxa"/>
            <w:vAlign w:val="bottom"/>
            <w:gridSpan w:val="2"/>
          </w:tcPr>
          <w:p>
            <w:pPr>
              <w:ind w:left="660"/>
              <w:spacing w:after="0"/>
              <w:rPr>
                <w:sz w:val="20"/>
                <w:szCs w:val="20"/>
                <w:color w:val="auto"/>
              </w:rPr>
            </w:pPr>
            <w:r>
              <w:rPr>
                <w:rFonts w:ascii="Arial" w:cs="Arial" w:eastAsia="Arial" w:hAnsi="Arial"/>
                <w:sz w:val="18"/>
                <w:szCs w:val="18"/>
                <w:color w:val="auto"/>
              </w:rPr>
              <w:t>Total revenue</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4,756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4,450</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100.0 %</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306</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7 %</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Expenses:</w:t>
            </w:r>
          </w:p>
        </w:tc>
        <w:tc>
          <w:tcPr>
            <w:tcW w:w="20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100" w:type="dxa"/>
            <w:vAlign w:val="bottom"/>
            <w:gridSpan w:val="2"/>
          </w:tcPr>
          <w:p>
            <w:pPr>
              <w:ind w:left="340"/>
              <w:spacing w:after="0"/>
              <w:rPr>
                <w:sz w:val="20"/>
                <w:szCs w:val="20"/>
                <w:color w:val="auto"/>
              </w:rPr>
            </w:pPr>
            <w:r>
              <w:rPr>
                <w:rFonts w:ascii="Arial" w:cs="Arial" w:eastAsia="Arial" w:hAnsi="Arial"/>
                <w:sz w:val="18"/>
                <w:szCs w:val="18"/>
                <w:color w:val="auto"/>
              </w:rPr>
              <w:t>Cost of processing and services</w:t>
            </w: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1,351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1,502</w:t>
            </w:r>
          </w:p>
        </w:tc>
        <w:tc>
          <w:tcPr>
            <w:tcW w:w="1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34.4 %</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40.6 %</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(151)</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6"/>
        </w:trPr>
        <w:tc>
          <w:tcPr>
            <w:tcW w:w="20" w:type="dxa"/>
            <w:vAlign w:val="bottom"/>
            <w:shd w:val="clear" w:color="auto" w:fill="CCEEFF"/>
          </w:tcPr>
          <w:p>
            <w:pPr>
              <w:spacing w:after="0"/>
              <w:rPr>
                <w:sz w:val="20"/>
                <w:szCs w:val="20"/>
                <w:color w:val="auto"/>
              </w:rPr>
            </w:pPr>
          </w:p>
        </w:tc>
        <w:tc>
          <w:tcPr>
            <w:tcW w:w="41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Cost of product</w:t>
            </w:r>
          </w:p>
        </w:tc>
        <w:tc>
          <w:tcPr>
            <w:tcW w:w="2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w:t>
            </w:r>
          </w:p>
        </w:tc>
        <w:tc>
          <w:tcPr>
            <w:tcW w:w="10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69.5 %</w:t>
            </w: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71.9 %</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7 %</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00" w:type="dxa"/>
            <w:vAlign w:val="bottom"/>
            <w:gridSpan w:val="2"/>
          </w:tcPr>
          <w:p>
            <w:pPr>
              <w:ind w:left="660"/>
              <w:spacing w:after="0"/>
              <w:rPr>
                <w:sz w:val="20"/>
                <w:szCs w:val="20"/>
                <w:color w:val="auto"/>
              </w:rPr>
            </w:pPr>
            <w:r>
              <w:rPr>
                <w:rFonts w:ascii="Arial" w:cs="Arial" w:eastAsia="Arial" w:hAnsi="Arial"/>
                <w:sz w:val="18"/>
                <w:szCs w:val="18"/>
                <w:color w:val="auto"/>
              </w:rPr>
              <w:t>Sub-total</w:t>
            </w:r>
          </w:p>
        </w:tc>
        <w:tc>
          <w:tcPr>
            <w:tcW w:w="2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1,929</w:t>
            </w: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2,044</w:t>
            </w:r>
          </w:p>
        </w:tc>
        <w:tc>
          <w:tcPr>
            <w:tcW w:w="100" w:type="dxa"/>
            <w:vAlign w:val="bottom"/>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40.6 %</w:t>
            </w:r>
          </w:p>
        </w:tc>
        <w:tc>
          <w:tcPr>
            <w:tcW w:w="8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45.9 %</w:t>
            </w: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(115)</w:t>
            </w:r>
          </w:p>
        </w:tc>
        <w:tc>
          <w:tcPr>
            <w:tcW w:w="120" w:type="dxa"/>
            <w:vAlign w:val="bottom"/>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shd w:val="clear" w:color="auto" w:fill="CCEEFF"/>
          </w:tcPr>
          <w:p>
            <w:pPr>
              <w:spacing w:after="0"/>
              <w:rPr>
                <w:sz w:val="19"/>
                <w:szCs w:val="19"/>
                <w:color w:val="auto"/>
              </w:rPr>
            </w:pPr>
          </w:p>
        </w:tc>
        <w:tc>
          <w:tcPr>
            <w:tcW w:w="41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Selling, general and administrative</w:t>
            </w:r>
          </w:p>
        </w:tc>
        <w:tc>
          <w:tcPr>
            <w:tcW w:w="2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1,696</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1,546</w:t>
            </w:r>
          </w:p>
        </w:tc>
        <w:tc>
          <w:tcPr>
            <w:tcW w:w="1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35.7 %</w:t>
            </w:r>
          </w:p>
        </w:tc>
        <w:tc>
          <w:tcPr>
            <w:tcW w:w="8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34.7 %</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00" w:type="dxa"/>
            <w:vAlign w:val="bottom"/>
            <w:gridSpan w:val="2"/>
          </w:tcPr>
          <w:p>
            <w:pPr>
              <w:ind w:left="660"/>
              <w:spacing w:after="0"/>
              <w:rPr>
                <w:sz w:val="20"/>
                <w:szCs w:val="20"/>
                <w:color w:val="auto"/>
              </w:rPr>
            </w:pPr>
            <w:r>
              <w:rPr>
                <w:rFonts w:ascii="Arial" w:cs="Arial" w:eastAsia="Arial" w:hAnsi="Arial"/>
                <w:sz w:val="18"/>
                <w:szCs w:val="18"/>
                <w:color w:val="auto"/>
              </w:rPr>
              <w:t>Total expenses</w:t>
            </w: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3,625</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3,590</w:t>
            </w:r>
          </w:p>
        </w:tc>
        <w:tc>
          <w:tcPr>
            <w:tcW w:w="10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76.2 %</w:t>
            </w:r>
          </w:p>
        </w:tc>
        <w:tc>
          <w:tcPr>
            <w:tcW w:w="8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80.7 %</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2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1,131</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w:t>
            </w:r>
          </w:p>
        </w:tc>
        <w:tc>
          <w:tcPr>
            <w:tcW w:w="10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23.8 %</w:t>
            </w: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19.3 %</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Interest expense, net</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(176)</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(4.9)%</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56</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32 %</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shd w:val="clear" w:color="auto" w:fill="CCEEFF"/>
          </w:tcPr>
          <w:p>
            <w:pPr>
              <w:spacing w:after="0"/>
              <w:rPr>
                <w:sz w:val="19"/>
                <w:szCs w:val="19"/>
                <w:color w:val="auto"/>
              </w:rPr>
            </w:pPr>
          </w:p>
        </w:tc>
        <w:tc>
          <w:tcPr>
            <w:tcW w:w="41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Other expense, net</w:t>
            </w:r>
          </w:p>
        </w:tc>
        <w:tc>
          <w:tcPr>
            <w:tcW w:w="2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8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100" w:type="dxa"/>
            <w:vAlign w:val="bottom"/>
            <w:gridSpan w:val="2"/>
          </w:tcPr>
          <w:p>
            <w:pPr>
              <w:spacing w:after="0" w:line="169" w:lineRule="exact"/>
              <w:rPr>
                <w:sz w:val="20"/>
                <w:szCs w:val="20"/>
                <w:color w:val="auto"/>
              </w:rPr>
            </w:pPr>
            <w:r>
              <w:rPr>
                <w:rFonts w:ascii="Arial" w:cs="Arial" w:eastAsia="Arial" w:hAnsi="Arial"/>
                <w:sz w:val="18"/>
                <w:szCs w:val="18"/>
                <w:color w:val="auto"/>
              </w:rPr>
              <w:t>Income before income taxes and income from</w:t>
            </w:r>
          </w:p>
        </w:tc>
        <w:tc>
          <w:tcPr>
            <w:tcW w:w="20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873</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618</w:t>
            </w:r>
          </w:p>
        </w:tc>
        <w:tc>
          <w:tcPr>
            <w:tcW w:w="10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18.4 %</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13.9 %</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255</w:t>
            </w:r>
          </w:p>
        </w:tc>
        <w:tc>
          <w:tcPr>
            <w:tcW w:w="1260" w:type="dxa"/>
            <w:vAlign w:val="bottom"/>
            <w:gridSpan w:val="2"/>
            <w:vMerge w:val="restart"/>
          </w:tcPr>
          <w:p>
            <w:pPr>
              <w:jc w:val="right"/>
              <w:spacing w:after="0"/>
              <w:rPr>
                <w:sz w:val="20"/>
                <w:szCs w:val="20"/>
                <w:color w:val="auto"/>
              </w:rPr>
            </w:pPr>
            <w:r>
              <w:rPr>
                <w:rFonts w:ascii="Arial" w:cs="Arial" w:eastAsia="Arial" w:hAnsi="Arial"/>
                <w:sz w:val="18"/>
                <w:szCs w:val="18"/>
                <w:color w:val="auto"/>
              </w:rPr>
              <w:t>41 %</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100" w:type="dxa"/>
            <w:vAlign w:val="bottom"/>
            <w:gridSpan w:val="2"/>
          </w:tcPr>
          <w:p>
            <w:pPr>
              <w:ind w:left="160"/>
              <w:spacing w:after="0"/>
              <w:rPr>
                <w:sz w:val="20"/>
                <w:szCs w:val="20"/>
                <w:color w:val="auto"/>
              </w:rPr>
            </w:pPr>
            <w:r>
              <w:rPr>
                <w:rFonts w:ascii="Arial" w:cs="Arial" w:eastAsia="Arial" w:hAnsi="Arial"/>
                <w:sz w:val="18"/>
                <w:szCs w:val="18"/>
                <w:color w:val="auto"/>
              </w:rPr>
              <w:t>investments in unconsolidated affiliates</w:t>
            </w:r>
          </w:p>
        </w:tc>
        <w:tc>
          <w:tcPr>
            <w:tcW w:w="200" w:type="dxa"/>
            <w:vAlign w:val="bottom"/>
          </w:tcPr>
          <w:p>
            <w:pPr>
              <w:spacing w:after="0"/>
              <w:rPr>
                <w:sz w:val="20"/>
                <w:szCs w:val="20"/>
                <w:color w:val="auto"/>
              </w:rPr>
            </w:pPr>
          </w:p>
        </w:tc>
        <w:tc>
          <w:tcPr>
            <w:tcW w:w="8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vMerge w:val="continue"/>
          </w:tcPr>
          <w:p>
            <w:pPr>
              <w:spacing w:after="0"/>
              <w:rPr>
                <w:sz w:val="20"/>
                <w:szCs w:val="20"/>
                <w:color w:val="auto"/>
              </w:rPr>
            </w:pPr>
          </w:p>
        </w:tc>
        <w:tc>
          <w:tcPr>
            <w:tcW w:w="126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20" w:type="dxa"/>
            <w:vAlign w:val="bottom"/>
            <w:shd w:val="clear" w:color="auto" w:fill="CCEEFF"/>
          </w:tcPr>
          <w:p>
            <w:pPr>
              <w:spacing w:after="0"/>
              <w:rPr>
                <w:sz w:val="20"/>
                <w:szCs w:val="20"/>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 provision</w:t>
            </w:r>
          </w:p>
        </w:tc>
        <w:tc>
          <w:tcPr>
            <w:tcW w:w="2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10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w w:val="97"/>
              </w:rPr>
              <w:t>Income from investments in unconsolidated affiliates</w:t>
            </w: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0.1 %</w:t>
            </w:r>
          </w:p>
        </w:tc>
        <w:tc>
          <w:tcPr>
            <w:tcW w:w="8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2.9 %</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w:t>
            </w:r>
          </w:p>
        </w:tc>
        <w:tc>
          <w:tcPr>
            <w:tcW w:w="12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2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w:t>
            </w:r>
          </w:p>
        </w:tc>
        <w:tc>
          <w:tcPr>
            <w:tcW w:w="10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14.6 %</w:t>
            </w: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13.7 %</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14 %</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100" w:type="dxa"/>
            <w:vAlign w:val="bottom"/>
            <w:gridSpan w:val="2"/>
          </w:tcPr>
          <w:p>
            <w:pPr>
              <w:spacing w:after="0" w:line="176" w:lineRule="exact"/>
              <w:rPr>
                <w:sz w:val="20"/>
                <w:szCs w:val="20"/>
                <w:color w:val="auto"/>
              </w:rPr>
            </w:pPr>
            <w:r>
              <w:rPr>
                <w:rFonts w:ascii="Arial" w:cs="Arial" w:eastAsia="Arial" w:hAnsi="Arial"/>
                <w:sz w:val="18"/>
                <w:szCs w:val="18"/>
                <w:color w:val="auto"/>
                <w:w w:val="92"/>
              </w:rPr>
              <w:t>Less: net income attributable to noncontrolling interests</w:t>
            </w:r>
          </w:p>
        </w:tc>
        <w:tc>
          <w:tcPr>
            <w:tcW w:w="20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0.3 %</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0.2 %</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1260" w:type="dxa"/>
            <w:vAlign w:val="bottom"/>
            <w:gridSpan w:val="2"/>
            <w:vMerge w:val="restart"/>
          </w:tcPr>
          <w:p>
            <w:pPr>
              <w:jc w:val="right"/>
              <w:spacing w:after="0"/>
              <w:rPr>
                <w:sz w:val="20"/>
                <w:szCs w:val="20"/>
                <w:color w:val="auto"/>
              </w:rPr>
            </w:pPr>
            <w:r>
              <w:rPr>
                <w:rFonts w:ascii="Arial" w:cs="Arial" w:eastAsia="Arial" w:hAnsi="Arial"/>
                <w:sz w:val="18"/>
                <w:szCs w:val="18"/>
                <w:color w:val="auto"/>
              </w:rPr>
              <w:t>9 %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00" w:type="dxa"/>
            <w:vAlign w:val="bottom"/>
            <w:gridSpan w:val="2"/>
          </w:tcPr>
          <w:p>
            <w:pPr>
              <w:ind w:left="160"/>
              <w:spacing w:after="0"/>
              <w:rPr>
                <w:sz w:val="20"/>
                <w:szCs w:val="20"/>
                <w:color w:val="auto"/>
              </w:rPr>
            </w:pPr>
            <w:r>
              <w:rPr>
                <w:rFonts w:ascii="Arial" w:cs="Arial" w:eastAsia="Arial" w:hAnsi="Arial"/>
                <w:sz w:val="18"/>
                <w:szCs w:val="18"/>
                <w:color w:val="auto"/>
              </w:rPr>
              <w:t>and redeemable noncontrolling interests</w:t>
            </w:r>
          </w:p>
        </w:tc>
        <w:tc>
          <w:tcPr>
            <w:tcW w:w="20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41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income attributable to Fiserv, Inc.</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14.4 %</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spacing w:after="0"/>
              <w:rPr>
                <w:sz w:val="21"/>
                <w:szCs w:val="21"/>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14 %</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3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6" w:lineRule="exact"/>
        <w:rPr>
          <w:sz w:val="20"/>
          <w:szCs w:val="20"/>
          <w:color w:val="auto"/>
        </w:rPr>
      </w:pPr>
    </w:p>
    <w:p>
      <w:pPr>
        <w:ind w:left="660" w:right="160" w:hanging="328"/>
        <w:spacing w:after="0" w:line="230" w:lineRule="auto"/>
        <w:tabs>
          <w:tab w:leader="none" w:pos="660" w:val="left"/>
        </w:tabs>
        <w:numPr>
          <w:ilvl w:val="0"/>
          <w:numId w:val="9"/>
        </w:numPr>
        <w:rPr>
          <w:rFonts w:ascii="Arial" w:cs="Arial" w:eastAsia="Arial" w:hAnsi="Arial"/>
          <w:sz w:val="21"/>
          <w:szCs w:val="21"/>
          <w:color w:val="auto"/>
          <w:vertAlign w:val="superscript"/>
        </w:rPr>
      </w:pPr>
      <w:r>
        <w:rPr>
          <w:rFonts w:ascii="Arial" w:cs="Arial" w:eastAsia="Arial" w:hAnsi="Arial"/>
          <w:sz w:val="16"/>
          <w:szCs w:val="16"/>
          <w:color w:val="auto"/>
        </w:rPr>
        <w:t>Percentage of revenue is calculated as the relevant revenue, expense or income amount divided by total revenue, except for cost of processing and services and cost of product amounts, which are divided by the related component of revenue.</w:t>
      </w:r>
    </w:p>
    <w:p>
      <w:pPr>
        <w:spacing w:after="0" w:line="200" w:lineRule="exact"/>
        <w:rPr>
          <w:sz w:val="20"/>
          <w:szCs w:val="20"/>
          <w:color w:val="auto"/>
        </w:rPr>
      </w:pPr>
    </w:p>
    <w:p>
      <w:pPr>
        <w:spacing w:after="0" w:line="33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5" w:right="45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Six Months Ended June 30,</w:t>
            </w:r>
          </w:p>
        </w:tc>
        <w:tc>
          <w:tcPr>
            <w:tcW w:w="1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0" w:type="dxa"/>
            <w:vAlign w:val="bottom"/>
            <w:gridSpan w:val="4"/>
          </w:tcPr>
          <w:p>
            <w:pPr>
              <w:jc w:val="center"/>
              <w:spacing w:after="0" w:line="175" w:lineRule="exact"/>
              <w:rPr>
                <w:sz w:val="20"/>
                <w:szCs w:val="20"/>
                <w:color w:val="auto"/>
              </w:rPr>
            </w:pPr>
            <w:r>
              <w:rPr>
                <w:rFonts w:ascii="Arial" w:cs="Arial" w:eastAsia="Arial" w:hAnsi="Arial"/>
                <w:sz w:val="18"/>
                <w:szCs w:val="18"/>
                <w:b w:val="1"/>
                <w:bCs w:val="1"/>
                <w:color w:val="auto"/>
                <w:w w:val="87"/>
              </w:rPr>
              <w:t>Percentage of</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40" w:type="dxa"/>
            <w:vAlign w:val="bottom"/>
            <w:tcBorders>
              <w:bottom w:val="single" w:sz="8" w:color="auto"/>
            </w:tcBorders>
            <w:gridSpan w:val="3"/>
          </w:tcPr>
          <w:p>
            <w:pPr>
              <w:jc w:val="center"/>
              <w:ind w:left="690"/>
              <w:spacing w:after="0" w:line="237" w:lineRule="exact"/>
              <w:rPr>
                <w:sz w:val="20"/>
                <w:szCs w:val="20"/>
                <w:color w:val="auto"/>
              </w:rPr>
            </w:pPr>
            <w:r>
              <w:rPr>
                <w:rFonts w:ascii="Arial" w:cs="Arial" w:eastAsia="Arial" w:hAnsi="Arial"/>
                <w:sz w:val="18"/>
                <w:szCs w:val="18"/>
                <w:b w:val="1"/>
                <w:bCs w:val="1"/>
                <w:color w:val="auto"/>
                <w:w w:val="82"/>
              </w:rPr>
              <w:t xml:space="preserve">Revenue </w:t>
            </w:r>
            <w:r>
              <w:rPr>
                <w:rFonts w:ascii="Arial" w:cs="Arial" w:eastAsia="Arial" w:hAnsi="Arial"/>
                <w:sz w:val="23"/>
                <w:szCs w:val="23"/>
                <w:b w:val="1"/>
                <w:bCs w:val="1"/>
                <w:color w:val="auto"/>
                <w:w w:val="82"/>
                <w:vertAlign w:val="superscript"/>
              </w:rPr>
              <w:t>(1)</w:t>
            </w:r>
          </w:p>
        </w:tc>
        <w:tc>
          <w:tcPr>
            <w:tcW w:w="7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gridSpan w:val="3"/>
          </w:tcPr>
          <w:p>
            <w:pPr>
              <w:jc w:val="right"/>
              <w:ind w:right="310"/>
              <w:spacing w:after="0"/>
              <w:rPr>
                <w:sz w:val="20"/>
                <w:szCs w:val="20"/>
                <w:color w:val="auto"/>
              </w:rPr>
            </w:pPr>
            <w:r>
              <w:rPr>
                <w:rFonts w:ascii="Arial" w:cs="Arial" w:eastAsia="Arial" w:hAnsi="Arial"/>
                <w:sz w:val="18"/>
                <w:szCs w:val="18"/>
                <w:b w:val="1"/>
                <w:bCs w:val="1"/>
                <w:color w:val="auto"/>
                <w:w w:val="95"/>
              </w:rPr>
              <w:t>Increase (Decrease)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100" w:type="dxa"/>
            <w:vAlign w:val="bottom"/>
            <w:gridSpan w:val="2"/>
          </w:tcPr>
          <w:p>
            <w:pPr>
              <w:spacing w:after="0"/>
              <w:rPr>
                <w:sz w:val="20"/>
                <w:szCs w:val="20"/>
                <w:color w:val="auto"/>
              </w:rPr>
            </w:pPr>
            <w:r>
              <w:rPr>
                <w:rFonts w:ascii="Arial" w:cs="Arial" w:eastAsia="Arial" w:hAnsi="Arial"/>
                <w:sz w:val="16"/>
                <w:szCs w:val="16"/>
                <w:b w:val="1"/>
                <w:bCs w:val="1"/>
                <w:color w:val="auto"/>
              </w:rPr>
              <w:t>(In millions)</w:t>
            </w:r>
          </w:p>
        </w:tc>
        <w:tc>
          <w:tcPr>
            <w:tcW w:w="220" w:type="dxa"/>
            <w:vAlign w:val="bottom"/>
          </w:tcPr>
          <w:p>
            <w:pPr>
              <w:spacing w:after="0"/>
              <w:rPr>
                <w:sz w:val="17"/>
                <w:szCs w:val="17"/>
                <w:color w:val="auto"/>
              </w:rPr>
            </w:pPr>
          </w:p>
        </w:tc>
        <w:tc>
          <w:tcPr>
            <w:tcW w:w="800" w:type="dxa"/>
            <w:vAlign w:val="bottom"/>
          </w:tcPr>
          <w:p>
            <w:pPr>
              <w:jc w:val="right"/>
              <w:ind w:right="230"/>
              <w:spacing w:after="0" w:line="196" w:lineRule="exact"/>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ind w:right="230"/>
              <w:spacing w:after="0" w:line="196" w:lineRule="exact"/>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7"/>
                <w:szCs w:val="17"/>
                <w:color w:val="auto"/>
              </w:rPr>
            </w:pPr>
          </w:p>
        </w:tc>
        <w:tc>
          <w:tcPr>
            <w:tcW w:w="1160" w:type="dxa"/>
            <w:vAlign w:val="bottom"/>
          </w:tcPr>
          <w:p>
            <w:pPr>
              <w:jc w:val="right"/>
              <w:ind w:right="310"/>
              <w:spacing w:after="0" w:line="196" w:lineRule="exact"/>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jc w:val="right"/>
              <w:ind w:right="290"/>
              <w:spacing w:after="0" w:line="196" w:lineRule="exact"/>
              <w:rPr>
                <w:sz w:val="20"/>
                <w:szCs w:val="20"/>
                <w:color w:val="auto"/>
              </w:rPr>
            </w:pPr>
            <w:r>
              <w:rPr>
                <w:rFonts w:ascii="Arial" w:cs="Arial" w:eastAsia="Arial" w:hAnsi="Arial"/>
                <w:sz w:val="18"/>
                <w:szCs w:val="18"/>
                <w:b w:val="1"/>
                <w:bCs w:val="1"/>
                <w:color w:val="auto"/>
                <w:w w:val="89"/>
              </w:rPr>
              <w:t>2022</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jc w:val="right"/>
              <w:ind w:right="390"/>
              <w:spacing w:after="0" w:line="196" w:lineRule="exact"/>
              <w:rPr>
                <w:sz w:val="20"/>
                <w:szCs w:val="20"/>
                <w:color w:val="auto"/>
              </w:rPr>
            </w:pPr>
            <w:r>
              <w:rPr>
                <w:rFonts w:ascii="Arial" w:cs="Arial" w:eastAsia="Arial" w:hAnsi="Arial"/>
                <w:sz w:val="18"/>
                <w:szCs w:val="18"/>
                <w:b w:val="1"/>
                <w:bCs w:val="1"/>
                <w:color w:val="auto"/>
              </w:rPr>
              <w:t>$</w:t>
            </w:r>
          </w:p>
        </w:tc>
        <w:tc>
          <w:tcPr>
            <w:tcW w:w="1260" w:type="dxa"/>
            <w:vAlign w:val="bottom"/>
            <w:gridSpan w:val="2"/>
          </w:tcPr>
          <w:p>
            <w:pPr>
              <w:jc w:val="right"/>
              <w:ind w:right="390"/>
              <w:spacing w:after="0" w:line="196" w:lineRule="exact"/>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Borders>
              <w:top w:val="single" w:sz="8" w:color="auto"/>
            </w:tcBorders>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00" w:type="dxa"/>
            <w:vAlign w:val="bottom"/>
            <w:gridSpan w:val="2"/>
          </w:tcPr>
          <w:p>
            <w:pPr>
              <w:ind w:left="340"/>
              <w:spacing w:after="0"/>
              <w:rPr>
                <w:sz w:val="20"/>
                <w:szCs w:val="20"/>
                <w:color w:val="auto"/>
              </w:rPr>
            </w:pPr>
            <w:r>
              <w:rPr>
                <w:rFonts w:ascii="Arial" w:cs="Arial" w:eastAsia="Arial" w:hAnsi="Arial"/>
                <w:sz w:val="18"/>
                <w:szCs w:val="18"/>
                <w:color w:val="auto"/>
              </w:rPr>
              <w:t>Processing and services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7,597</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7,060</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81.7 %</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82.2 %</w:t>
            </w:r>
          </w:p>
        </w:tc>
        <w:tc>
          <w:tcPr>
            <w:tcW w:w="3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537</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8 %</w:t>
            </w: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41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Product</w:t>
            </w: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1,706</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1,528</w:t>
            </w: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18.3 %</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17.8 %</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12 %</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00" w:type="dxa"/>
            <w:vAlign w:val="bottom"/>
            <w:gridSpan w:val="2"/>
          </w:tcPr>
          <w:p>
            <w:pPr>
              <w:ind w:left="660"/>
              <w:spacing w:after="0"/>
              <w:rPr>
                <w:sz w:val="20"/>
                <w:szCs w:val="20"/>
                <w:color w:val="auto"/>
              </w:rPr>
            </w:pPr>
            <w:r>
              <w:rPr>
                <w:rFonts w:ascii="Arial" w:cs="Arial" w:eastAsia="Arial" w:hAnsi="Arial"/>
                <w:sz w:val="18"/>
                <w:szCs w:val="18"/>
                <w:color w:val="auto"/>
              </w:rPr>
              <w:t>Total revenue</w:t>
            </w:r>
          </w:p>
        </w:tc>
        <w:tc>
          <w:tcPr>
            <w:tcW w:w="22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9,303</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8,588</w:t>
            </w:r>
          </w:p>
        </w:tc>
        <w:tc>
          <w:tcPr>
            <w:tcW w:w="10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715</w:t>
            </w:r>
          </w:p>
        </w:tc>
        <w:tc>
          <w:tcPr>
            <w:tcW w:w="12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8 %</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Expenses:</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100" w:type="dxa"/>
            <w:vAlign w:val="bottom"/>
            <w:gridSpan w:val="2"/>
          </w:tcPr>
          <w:p>
            <w:pPr>
              <w:ind w:left="340"/>
              <w:spacing w:after="0"/>
              <w:rPr>
                <w:sz w:val="20"/>
                <w:szCs w:val="20"/>
                <w:color w:val="auto"/>
              </w:rPr>
            </w:pPr>
            <w:r>
              <w:rPr>
                <w:rFonts w:ascii="Arial" w:cs="Arial" w:eastAsia="Arial" w:hAnsi="Arial"/>
                <w:sz w:val="18"/>
                <w:szCs w:val="18"/>
                <w:color w:val="auto"/>
              </w:rPr>
              <w:t>Cost of processing and services</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2,756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2,938</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36.3 %</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41.6 %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(182)</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41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Cost of product</w:t>
            </w: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1,178</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1,078</w:t>
            </w: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69.1 %</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70.5 %</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9 %</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00" w:type="dxa"/>
            <w:vAlign w:val="bottom"/>
            <w:gridSpan w:val="2"/>
          </w:tcPr>
          <w:p>
            <w:pPr>
              <w:ind w:left="660"/>
              <w:spacing w:after="0"/>
              <w:rPr>
                <w:sz w:val="20"/>
                <w:szCs w:val="20"/>
                <w:color w:val="auto"/>
              </w:rPr>
            </w:pPr>
            <w:r>
              <w:rPr>
                <w:rFonts w:ascii="Arial" w:cs="Arial" w:eastAsia="Arial" w:hAnsi="Arial"/>
                <w:sz w:val="18"/>
                <w:szCs w:val="18"/>
                <w:color w:val="auto"/>
              </w:rPr>
              <w:t>Sub-total</w:t>
            </w:r>
          </w:p>
        </w:tc>
        <w:tc>
          <w:tcPr>
            <w:tcW w:w="2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3,934</w:t>
            </w: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4,016</w:t>
            </w:r>
          </w:p>
        </w:tc>
        <w:tc>
          <w:tcPr>
            <w:tcW w:w="100" w:type="dxa"/>
            <w:vAlign w:val="bottom"/>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42.3 %</w:t>
            </w:r>
          </w:p>
        </w:tc>
        <w:tc>
          <w:tcPr>
            <w:tcW w:w="1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46.8 %</w:t>
            </w: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120" w:type="dxa"/>
            <w:vAlign w:val="bottom"/>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1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3,013</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35.5 %</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100" w:type="dxa"/>
            <w:vAlign w:val="bottom"/>
            <w:gridSpan w:val="2"/>
          </w:tcPr>
          <w:p>
            <w:pPr>
              <w:ind w:left="340"/>
              <w:spacing w:after="0" w:line="189" w:lineRule="exact"/>
              <w:rPr>
                <w:sz w:val="20"/>
                <w:szCs w:val="20"/>
                <w:color w:val="auto"/>
              </w:rPr>
            </w:pPr>
            <w:r>
              <w:rPr>
                <w:rFonts w:ascii="Arial" w:cs="Arial" w:eastAsia="Arial" w:hAnsi="Arial"/>
                <w:sz w:val="18"/>
                <w:szCs w:val="18"/>
                <w:color w:val="auto"/>
                <w:w w:val="99"/>
              </w:rPr>
              <w:t>Net loss (gain) on sale of businesses and other</w:t>
            </w:r>
          </w:p>
        </w:tc>
        <w:tc>
          <w:tcPr>
            <w:tcW w:w="220" w:type="dxa"/>
            <w:vAlign w:val="bottom"/>
          </w:tcPr>
          <w:p>
            <w:pPr>
              <w:spacing w:after="0"/>
              <w:rPr>
                <w:sz w:val="16"/>
                <w:szCs w:val="16"/>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16"/>
                <w:szCs w:val="16"/>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 %</w:t>
            </w:r>
          </w:p>
        </w:tc>
        <w:tc>
          <w:tcPr>
            <w:tcW w:w="100" w:type="dxa"/>
            <w:vAlign w:val="bottom"/>
            <w:vMerge w:val="restart"/>
          </w:tcPr>
          <w:p>
            <w:pPr>
              <w:spacing w:after="0"/>
              <w:rPr>
                <w:sz w:val="16"/>
                <w:szCs w:val="16"/>
                <w:color w:val="auto"/>
              </w:rPr>
            </w:pPr>
          </w:p>
        </w:tc>
        <w:tc>
          <w:tcPr>
            <w:tcW w:w="380" w:type="dxa"/>
            <w:vAlign w:val="bottom"/>
            <w:vMerge w:val="restart"/>
          </w:tcPr>
          <w:p>
            <w:pPr>
              <w:spacing w:after="0"/>
              <w:rPr>
                <w:sz w:val="16"/>
                <w:szCs w:val="16"/>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151</w:t>
            </w:r>
          </w:p>
        </w:tc>
        <w:tc>
          <w:tcPr>
            <w:tcW w:w="120" w:type="dxa"/>
            <w:vAlign w:val="bottom"/>
          </w:tcPr>
          <w:p>
            <w:pPr>
              <w:spacing w:after="0"/>
              <w:rPr>
                <w:sz w:val="16"/>
                <w:szCs w:val="16"/>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100" w:type="dxa"/>
            <w:vAlign w:val="bottom"/>
            <w:gridSpan w:val="2"/>
          </w:tcPr>
          <w:p>
            <w:pPr>
              <w:ind w:left="420"/>
              <w:spacing w:after="0"/>
              <w:rPr>
                <w:sz w:val="20"/>
                <w:szCs w:val="20"/>
                <w:color w:val="auto"/>
              </w:rPr>
            </w:pPr>
            <w:r>
              <w:rPr>
                <w:rFonts w:ascii="Arial" w:cs="Arial" w:eastAsia="Arial" w:hAnsi="Arial"/>
                <w:sz w:val="18"/>
                <w:szCs w:val="18"/>
                <w:color w:val="auto"/>
              </w:rPr>
              <w:t>assets</w:t>
            </w: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380" w:type="dxa"/>
            <w:vAlign w:val="bottom"/>
            <w:tcBorders>
              <w:bottom w:val="single" w:sz="8" w:color="auto"/>
            </w:tcBorders>
            <w:vMerge w:val="continue"/>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shd w:val="clear" w:color="auto" w:fill="CCEEFF"/>
          </w:tcPr>
          <w:p>
            <w:pPr>
              <w:spacing w:after="0"/>
              <w:rPr>
                <w:sz w:val="20"/>
                <w:szCs w:val="20"/>
                <w:color w:val="auto"/>
              </w:rPr>
            </w:pPr>
          </w:p>
        </w:tc>
        <w:tc>
          <w:tcPr>
            <w:tcW w:w="410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Total expenses</w:t>
            </w: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7,238</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6,882</w:t>
            </w:r>
          </w:p>
        </w:tc>
        <w:tc>
          <w:tcPr>
            <w:tcW w:w="10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77.8 %</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80.1 %</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5 %</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2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2,065</w:t>
            </w: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1,706</w:t>
            </w:r>
          </w:p>
        </w:tc>
        <w:tc>
          <w:tcPr>
            <w:tcW w:w="100" w:type="dxa"/>
            <w:vAlign w:val="bottom"/>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22.2 %</w:t>
            </w:r>
          </w:p>
        </w:tc>
        <w:tc>
          <w:tcPr>
            <w:tcW w:w="1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19.9 %</w:t>
            </w: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359</w:t>
            </w:r>
          </w:p>
        </w:tc>
        <w:tc>
          <w:tcPr>
            <w:tcW w:w="120" w:type="dxa"/>
            <w:vAlign w:val="bottom"/>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21 %</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26 %</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Other expense, net</w:t>
            </w: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(24)</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174"/>
        </w:trPr>
        <w:tc>
          <w:tcPr>
            <w:tcW w:w="20" w:type="dxa"/>
            <w:vAlign w:val="bottom"/>
            <w:tcBorders>
              <w:top w:val="single" w:sz="8" w:color="CCEEFF"/>
            </w:tcBorders>
            <w:shd w:val="clear" w:color="auto" w:fill="CCEEFF"/>
          </w:tcPr>
          <w:p>
            <w:pPr>
              <w:spacing w:after="0"/>
              <w:rPr>
                <w:sz w:val="15"/>
                <w:szCs w:val="15"/>
                <w:color w:val="auto"/>
              </w:rPr>
            </w:pPr>
          </w:p>
        </w:tc>
        <w:tc>
          <w:tcPr>
            <w:tcW w:w="4100" w:type="dxa"/>
            <w:vAlign w:val="bottom"/>
            <w:tcBorders>
              <w:top w:val="single" w:sz="8" w:color="CCEEFF"/>
            </w:tcBorders>
            <w:gridSpan w:val="2"/>
            <w:shd w:val="clear" w:color="auto" w:fill="CCEEFF"/>
          </w:tcPr>
          <w:p>
            <w:pPr>
              <w:spacing w:after="0" w:line="175" w:lineRule="exact"/>
              <w:rPr>
                <w:sz w:val="20"/>
                <w:szCs w:val="20"/>
                <w:color w:val="auto"/>
              </w:rPr>
            </w:pPr>
            <w:r>
              <w:rPr>
                <w:rFonts w:ascii="Arial" w:cs="Arial" w:eastAsia="Arial" w:hAnsi="Arial"/>
                <w:sz w:val="18"/>
                <w:szCs w:val="18"/>
                <w:color w:val="auto"/>
                <w:w w:val="98"/>
              </w:rPr>
              <w:t>Income before income taxes and (loss) income from</w:t>
            </w:r>
          </w:p>
        </w:tc>
        <w:tc>
          <w:tcPr>
            <w:tcW w:w="22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20"/>
                <w:szCs w:val="20"/>
                <w:color w:val="auto"/>
              </w:rPr>
            </w:pPr>
          </w:p>
        </w:tc>
        <w:tc>
          <w:tcPr>
            <w:tcW w:w="41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investments in unconsolidated affiliates</w:t>
            </w: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1,585</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1,292</w:t>
            </w:r>
          </w:p>
        </w:tc>
        <w:tc>
          <w:tcPr>
            <w:tcW w:w="10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17.0 %</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15.0 %</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Income tax provision</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(305)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(235)</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70</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30 %</w:t>
            </w:r>
          </w:p>
        </w:tc>
        <w:tc>
          <w:tcPr>
            <w:tcW w:w="0" w:type="dxa"/>
            <w:vAlign w:val="bottom"/>
          </w:tcPr>
          <w:p>
            <w:pPr>
              <w:spacing w:after="0"/>
              <w:rPr>
                <w:sz w:val="1"/>
                <w:szCs w:val="1"/>
                <w:color w:val="auto"/>
              </w:rPr>
            </w:pPr>
          </w:p>
        </w:tc>
      </w:tr>
      <w:tr>
        <w:trPr>
          <w:trHeight w:val="188"/>
        </w:trPr>
        <w:tc>
          <w:tcPr>
            <w:tcW w:w="20" w:type="dxa"/>
            <w:vAlign w:val="bottom"/>
            <w:shd w:val="clear" w:color="auto" w:fill="CCEEFF"/>
          </w:tcPr>
          <w:p>
            <w:pPr>
              <w:spacing w:after="0"/>
              <w:rPr>
                <w:sz w:val="16"/>
                <w:szCs w:val="16"/>
                <w:color w:val="auto"/>
              </w:rPr>
            </w:pPr>
          </w:p>
        </w:tc>
        <w:tc>
          <w:tcPr>
            <w:tcW w:w="410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(Loss) income from investments in unconsolidated</w:t>
            </w:r>
          </w:p>
        </w:tc>
        <w:tc>
          <w:tcPr>
            <w:tcW w:w="220" w:type="dxa"/>
            <w:vAlign w:val="bottom"/>
            <w:shd w:val="clear" w:color="auto" w:fill="CCEEFF"/>
          </w:tcPr>
          <w:p>
            <w:pPr>
              <w:spacing w:after="0"/>
              <w:rPr>
                <w:sz w:val="16"/>
                <w:szCs w:val="16"/>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100" w:type="dxa"/>
            <w:vAlign w:val="bottom"/>
            <w:shd w:val="clear" w:color="auto" w:fill="CCEEFF"/>
          </w:tcPr>
          <w:p>
            <w:pPr>
              <w:spacing w:after="0"/>
              <w:rPr>
                <w:sz w:val="16"/>
                <w:szCs w:val="16"/>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2.7 %</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120" w:type="dxa"/>
            <w:vAlign w:val="bottom"/>
            <w:shd w:val="clear" w:color="auto" w:fill="CCEEFF"/>
          </w:tcPr>
          <w:p>
            <w:pPr>
              <w:spacing w:after="0"/>
              <w:rPr>
                <w:sz w:val="16"/>
                <w:szCs w:val="16"/>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7"/>
        </w:trPr>
        <w:tc>
          <w:tcPr>
            <w:tcW w:w="20" w:type="dxa"/>
            <w:vAlign w:val="bottom"/>
            <w:tcBorders>
              <w:bottom w:val="single" w:sz="8" w:color="CCEEFF"/>
            </w:tcBorders>
            <w:shd w:val="clear" w:color="auto" w:fill="CCEEFF"/>
          </w:tcPr>
          <w:p>
            <w:pPr>
              <w:spacing w:after="0"/>
              <w:rPr>
                <w:sz w:val="18"/>
                <w:szCs w:val="18"/>
                <w:color w:val="auto"/>
              </w:rPr>
            </w:pPr>
          </w:p>
        </w:tc>
        <w:tc>
          <w:tcPr>
            <w:tcW w:w="41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affiliates</w:t>
            </w: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1,271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1,291</w:t>
            </w:r>
          </w:p>
        </w:tc>
        <w:tc>
          <w:tcPr>
            <w:tcW w:w="1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13.7 %</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15.0 %</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82"/>
        </w:trPr>
        <w:tc>
          <w:tcPr>
            <w:tcW w:w="20" w:type="dxa"/>
            <w:vAlign w:val="bottom"/>
            <w:shd w:val="clear" w:color="auto" w:fill="CCEEFF"/>
          </w:tcPr>
          <w:p>
            <w:pPr>
              <w:spacing w:after="0"/>
              <w:rPr>
                <w:sz w:val="15"/>
                <w:szCs w:val="15"/>
                <w:color w:val="auto"/>
              </w:rPr>
            </w:pPr>
          </w:p>
        </w:tc>
        <w:tc>
          <w:tcPr>
            <w:tcW w:w="4100" w:type="dxa"/>
            <w:vAlign w:val="bottom"/>
            <w:gridSpan w:val="2"/>
            <w:shd w:val="clear" w:color="auto" w:fill="CCEEFF"/>
          </w:tcPr>
          <w:p>
            <w:pPr>
              <w:spacing w:after="0" w:line="182" w:lineRule="exact"/>
              <w:rPr>
                <w:sz w:val="20"/>
                <w:szCs w:val="20"/>
                <w:color w:val="auto"/>
              </w:rPr>
            </w:pPr>
            <w:r>
              <w:rPr>
                <w:rFonts w:ascii="Arial" w:cs="Arial" w:eastAsia="Arial" w:hAnsi="Arial"/>
                <w:sz w:val="18"/>
                <w:szCs w:val="18"/>
                <w:color w:val="auto"/>
                <w:w w:val="92"/>
              </w:rPr>
              <w:t>Less: net income attributable to noncontrolling interests</w:t>
            </w:r>
          </w:p>
        </w:tc>
        <w:tc>
          <w:tcPr>
            <w:tcW w:w="22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0.3 %</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0.3 %</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4 %</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1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and redeemable noncontrolling interests</w:t>
            </w:r>
          </w:p>
        </w:tc>
        <w:tc>
          <w:tcPr>
            <w:tcW w:w="220" w:type="dxa"/>
            <w:vAlign w:val="bottom"/>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126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Net income attributable to Fiserv, Inc.</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1,246</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1,267</w:t>
            </w:r>
          </w:p>
        </w:tc>
        <w:tc>
          <w:tcPr>
            <w:tcW w:w="10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13.4 %</w:t>
            </w:r>
          </w:p>
        </w:tc>
        <w:tc>
          <w:tcPr>
            <w:tcW w:w="100" w:type="dxa"/>
            <w:vAlign w:val="bottom"/>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14.8 %</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660" w:right="280" w:hanging="328"/>
        <w:spacing w:after="0" w:line="223" w:lineRule="auto"/>
        <w:tabs>
          <w:tab w:leader="none" w:pos="660" w:val="left"/>
        </w:tabs>
        <w:numPr>
          <w:ilvl w:val="0"/>
          <w:numId w:val="10"/>
        </w:numPr>
        <w:rPr>
          <w:rFonts w:ascii="Arial" w:cs="Arial" w:eastAsia="Arial" w:hAnsi="Arial"/>
          <w:sz w:val="21"/>
          <w:szCs w:val="21"/>
          <w:color w:val="auto"/>
          <w:vertAlign w:val="superscript"/>
        </w:rPr>
      </w:pPr>
      <w:r>
        <w:rPr>
          <w:rFonts w:ascii="Arial" w:cs="Arial" w:eastAsia="Arial" w:hAnsi="Arial"/>
          <w:sz w:val="16"/>
          <w:szCs w:val="16"/>
          <w:color w:val="auto"/>
        </w:rPr>
        <w:t>Percentage of revenue is calculated as the relevant revenue, expense or income amount divided by total revenue, except for cost of processing and services and cost of product amounts, which are divided by the related component of revenue.</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060" w:type="dxa"/>
            <w:vAlign w:val="bottom"/>
            <w:tcBorders>
              <w:bottom w:val="single" w:sz="8" w:color="auto"/>
            </w:tcBorders>
            <w:gridSpan w:val="8"/>
          </w:tcPr>
          <w:p>
            <w:pPr>
              <w:jc w:val="right"/>
              <w:spacing w:after="0"/>
              <w:rPr>
                <w:sz w:val="20"/>
                <w:szCs w:val="20"/>
                <w:color w:val="auto"/>
              </w:rPr>
            </w:pPr>
            <w:r>
              <w:rPr>
                <w:rFonts w:ascii="Arial" w:cs="Arial" w:eastAsia="Arial" w:hAnsi="Arial"/>
                <w:sz w:val="18"/>
                <w:szCs w:val="18"/>
                <w:b w:val="1"/>
                <w:bCs w:val="1"/>
                <w:color w:val="auto"/>
              </w:rPr>
              <w:t>Three Months Ended June 30,</w:t>
            </w:r>
          </w:p>
        </w:tc>
        <w:tc>
          <w:tcPr>
            <w:tcW w:w="10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r>
      <w:tr>
        <w:trPr>
          <w:trHeight w:val="176"/>
        </w:trPr>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jc w:val="right"/>
              <w:ind w:right="150"/>
              <w:spacing w:after="0" w:line="176" w:lineRule="exact"/>
              <w:rPr>
                <w:sz w:val="20"/>
                <w:szCs w:val="20"/>
                <w:color w:val="auto"/>
              </w:rPr>
            </w:pPr>
            <w:r>
              <w:rPr>
                <w:rFonts w:ascii="Arial" w:cs="Arial" w:eastAsia="Arial" w:hAnsi="Arial"/>
                <w:sz w:val="18"/>
                <w:szCs w:val="18"/>
                <w:b w:val="1"/>
                <w:bCs w:val="1"/>
                <w:color w:val="auto"/>
                <w:w w:val="90"/>
              </w:rPr>
              <w:t>Corporate</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 w:type="dxa"/>
            <w:vAlign w:val="bottom"/>
          </w:tcPr>
          <w:p>
            <w:pPr>
              <w:spacing w:after="0"/>
              <w:rPr>
                <w:sz w:val="15"/>
                <w:szCs w:val="15"/>
                <w:color w:val="auto"/>
              </w:rPr>
            </w:pPr>
          </w:p>
        </w:tc>
      </w:tr>
      <w:tr>
        <w:trPr>
          <w:trHeight w:val="203"/>
        </w:trPr>
        <w:tc>
          <w:tcPr>
            <w:tcW w:w="20" w:type="dxa"/>
            <w:vAlign w:val="bottom"/>
          </w:tcPr>
          <w:p>
            <w:pPr>
              <w:spacing w:after="0"/>
              <w:rPr>
                <w:sz w:val="17"/>
                <w:szCs w:val="17"/>
                <w:color w:val="auto"/>
              </w:rPr>
            </w:pPr>
          </w:p>
        </w:tc>
        <w:tc>
          <w:tcPr>
            <w:tcW w:w="3720" w:type="dxa"/>
            <w:vAlign w:val="bottom"/>
            <w:gridSpan w:val="2"/>
          </w:tcPr>
          <w:p>
            <w:pPr>
              <w:spacing w:after="0"/>
              <w:rPr>
                <w:sz w:val="20"/>
                <w:szCs w:val="20"/>
                <w:color w:val="auto"/>
              </w:rPr>
            </w:pPr>
            <w:r>
              <w:rPr>
                <w:rFonts w:ascii="Arial" w:cs="Arial" w:eastAsia="Arial" w:hAnsi="Arial"/>
                <w:sz w:val="16"/>
                <w:szCs w:val="16"/>
                <w:b w:val="1"/>
                <w:bCs w:val="1"/>
                <w:color w:val="auto"/>
              </w:rPr>
              <w:t>(In millions)</w:t>
            </w:r>
          </w:p>
        </w:tc>
        <w:tc>
          <w:tcPr>
            <w:tcW w:w="20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w w:val="94"/>
              </w:rPr>
              <w:t>Acceptance</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ind w:right="50"/>
              <w:spacing w:after="0" w:line="202" w:lineRule="exact"/>
              <w:rPr>
                <w:sz w:val="20"/>
                <w:szCs w:val="20"/>
                <w:color w:val="auto"/>
              </w:rPr>
            </w:pPr>
            <w:r>
              <w:rPr>
                <w:rFonts w:ascii="Arial" w:cs="Arial" w:eastAsia="Arial" w:hAnsi="Arial"/>
                <w:sz w:val="18"/>
                <w:szCs w:val="18"/>
                <w:b w:val="1"/>
                <w:bCs w:val="1"/>
                <w:color w:val="auto"/>
              </w:rPr>
              <w:t>Fintech</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w w:val="98"/>
              </w:rPr>
              <w:t>Payments</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right"/>
              <w:ind w:right="150"/>
              <w:spacing w:after="0" w:line="202" w:lineRule="exact"/>
              <w:rPr>
                <w:sz w:val="20"/>
                <w:szCs w:val="20"/>
                <w:color w:val="auto"/>
              </w:rPr>
            </w:pPr>
            <w:r>
              <w:rPr>
                <w:rFonts w:ascii="Arial" w:cs="Arial" w:eastAsia="Arial" w:hAnsi="Arial"/>
                <w:sz w:val="18"/>
                <w:szCs w:val="18"/>
                <w:b w:val="1"/>
                <w:bCs w:val="1"/>
                <w:color w:val="auto"/>
                <w:w w:val="91"/>
              </w:rPr>
              <w:t>and Other</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20" w:type="dxa"/>
            <w:vAlign w:val="bottom"/>
          </w:tcPr>
          <w:p>
            <w:pPr>
              <w:jc w:val="right"/>
              <w:ind w:right="130"/>
              <w:spacing w:after="0" w:line="202" w:lineRule="exact"/>
              <w:rPr>
                <w:sz w:val="20"/>
                <w:szCs w:val="20"/>
                <w:color w:val="auto"/>
              </w:rPr>
            </w:pPr>
            <w:r>
              <w:rPr>
                <w:rFonts w:ascii="Arial" w:cs="Arial" w:eastAsia="Arial" w:hAnsi="Arial"/>
                <w:sz w:val="18"/>
                <w:szCs w:val="18"/>
                <w:b w:val="1"/>
                <w:bCs w:val="1"/>
                <w:color w:val="auto"/>
              </w:rPr>
              <w:t>Total</w:t>
            </w:r>
          </w:p>
        </w:tc>
        <w:tc>
          <w:tcPr>
            <w:tcW w:w="3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Borders>
              <w:top w:val="single" w:sz="8" w:color="auto"/>
            </w:tcBorders>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revenue:</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r>
      <w:tr>
        <w:trPr>
          <w:trHeight w:val="230"/>
        </w:trPr>
        <w:tc>
          <w:tcPr>
            <w:tcW w:w="880" w:type="dxa"/>
            <w:vAlign w:val="bottom"/>
            <w:gridSpan w:val="2"/>
          </w:tcPr>
          <w:p>
            <w:pPr>
              <w:ind w:left="360"/>
              <w:spacing w:after="0"/>
              <w:rPr>
                <w:sz w:val="20"/>
                <w:szCs w:val="20"/>
                <w:color w:val="auto"/>
              </w:rPr>
            </w:pPr>
            <w:r>
              <w:rPr>
                <w:rFonts w:ascii="Arial" w:cs="Arial" w:eastAsia="Arial" w:hAnsi="Arial"/>
                <w:sz w:val="18"/>
                <w:szCs w:val="18"/>
                <w:color w:val="auto"/>
              </w:rPr>
              <w:t>2023</w:t>
            </w:r>
          </w:p>
        </w:tc>
        <w:tc>
          <w:tcPr>
            <w:tcW w:w="286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2,065</w:t>
            </w:r>
          </w:p>
        </w:tc>
        <w:tc>
          <w:tcPr>
            <w:tcW w:w="66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784</w:t>
            </w:r>
          </w:p>
        </w:tc>
        <w:tc>
          <w:tcPr>
            <w:tcW w:w="64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1,645</w:t>
            </w:r>
          </w:p>
        </w:tc>
        <w:tc>
          <w:tcPr>
            <w:tcW w:w="6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50"/>
              <w:spacing w:after="0"/>
              <w:rPr>
                <w:sz w:val="20"/>
                <w:szCs w:val="20"/>
                <w:color w:val="auto"/>
              </w:rPr>
            </w:pPr>
            <w:r>
              <w:rPr>
                <w:rFonts w:ascii="Arial" w:cs="Arial" w:eastAsia="Arial" w:hAnsi="Arial"/>
                <w:sz w:val="18"/>
                <w:szCs w:val="18"/>
                <w:color w:val="auto"/>
              </w:rPr>
              <w:t>262</w:t>
            </w: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4,756</w:t>
            </w:r>
          </w:p>
        </w:tc>
        <w:tc>
          <w:tcPr>
            <w:tcW w:w="320" w:type="dxa"/>
            <w:vAlign w:val="bottom"/>
          </w:tcPr>
          <w:p>
            <w:pPr>
              <w:spacing w:after="0"/>
              <w:rPr>
                <w:sz w:val="19"/>
                <w:szCs w:val="19"/>
                <w:color w:val="auto"/>
              </w:rPr>
            </w:pPr>
          </w:p>
        </w:tc>
      </w:tr>
      <w:tr>
        <w:trPr>
          <w:trHeight w:val="243"/>
        </w:trPr>
        <w:tc>
          <w:tcPr>
            <w:tcW w:w="8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2022</w:t>
            </w:r>
          </w:p>
        </w:tc>
        <w:tc>
          <w:tcPr>
            <w:tcW w:w="28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1,901</w:t>
            </w:r>
          </w:p>
        </w:tc>
        <w:tc>
          <w:tcPr>
            <w:tcW w:w="2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w:t>
            </w:r>
          </w:p>
        </w:tc>
        <w:tc>
          <w:tcPr>
            <w:tcW w:w="3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1,518</w:t>
            </w:r>
          </w:p>
        </w:tc>
        <w:tc>
          <w:tcPr>
            <w:tcW w:w="3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228</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4,450</w:t>
            </w:r>
          </w:p>
        </w:tc>
        <w:tc>
          <w:tcPr>
            <w:tcW w:w="320" w:type="dxa"/>
            <w:vAlign w:val="bottom"/>
            <w:shd w:val="clear" w:color="auto" w:fill="CCEEFF"/>
          </w:tcPr>
          <w:p>
            <w:pPr>
              <w:spacing w:after="0"/>
              <w:rPr>
                <w:sz w:val="21"/>
                <w:szCs w:val="21"/>
                <w:color w:val="auto"/>
              </w:rPr>
            </w:pPr>
          </w:p>
        </w:tc>
      </w:tr>
      <w:tr>
        <w:trPr>
          <w:trHeight w:val="230"/>
        </w:trPr>
        <w:tc>
          <w:tcPr>
            <w:tcW w:w="20" w:type="dxa"/>
            <w:vAlign w:val="bottom"/>
          </w:tcPr>
          <w:p>
            <w:pPr>
              <w:spacing w:after="0"/>
              <w:rPr>
                <w:sz w:val="19"/>
                <w:szCs w:val="19"/>
                <w:color w:val="auto"/>
              </w:rPr>
            </w:pPr>
          </w:p>
        </w:tc>
        <w:tc>
          <w:tcPr>
            <w:tcW w:w="3720" w:type="dxa"/>
            <w:vAlign w:val="bottom"/>
            <w:gridSpan w:val="2"/>
          </w:tcPr>
          <w:p>
            <w:pPr>
              <w:ind w:left="340"/>
              <w:spacing w:after="0"/>
              <w:rPr>
                <w:sz w:val="20"/>
                <w:szCs w:val="20"/>
                <w:color w:val="auto"/>
              </w:rPr>
            </w:pPr>
            <w:r>
              <w:rPr>
                <w:rFonts w:ascii="Arial" w:cs="Arial" w:eastAsia="Arial" w:hAnsi="Arial"/>
                <w:sz w:val="18"/>
                <w:szCs w:val="18"/>
                <w:color w:val="auto"/>
              </w:rPr>
              <w:t>Revenue growth (decline)</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164</w:t>
            </w:r>
          </w:p>
        </w:tc>
        <w:tc>
          <w:tcPr>
            <w:tcW w:w="66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(19)</w:t>
            </w:r>
          </w:p>
        </w:tc>
        <w:tc>
          <w:tcPr>
            <w:tcW w:w="64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127</w:t>
            </w:r>
          </w:p>
        </w:tc>
        <w:tc>
          <w:tcPr>
            <w:tcW w:w="6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50"/>
              <w:spacing w:after="0"/>
              <w:rPr>
                <w:sz w:val="20"/>
                <w:szCs w:val="20"/>
                <w:color w:val="auto"/>
              </w:rPr>
            </w:pPr>
            <w:r>
              <w:rPr>
                <w:rFonts w:ascii="Arial" w:cs="Arial" w:eastAsia="Arial" w:hAnsi="Arial"/>
                <w:sz w:val="18"/>
                <w:szCs w:val="18"/>
                <w:color w:val="auto"/>
              </w:rPr>
              <w:t>34</w:t>
            </w: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306</w:t>
            </w:r>
          </w:p>
        </w:tc>
        <w:tc>
          <w:tcPr>
            <w:tcW w:w="32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37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Revenue growth (decline) percentage</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20" w:type="dxa"/>
            <w:vAlign w:val="bottom"/>
          </w:tcPr>
          <w:p>
            <w:pPr>
              <w:spacing w:after="0"/>
              <w:rPr>
                <w:sz w:val="20"/>
                <w:szCs w:val="20"/>
                <w:color w:val="auto"/>
              </w:rPr>
            </w:pPr>
          </w:p>
        </w:tc>
        <w:tc>
          <w:tcPr>
            <w:tcW w:w="3720" w:type="dxa"/>
            <w:vAlign w:val="bottom"/>
            <w:gridSpan w:val="2"/>
          </w:tcPr>
          <w:p>
            <w:pPr>
              <w:spacing w:after="0"/>
              <w:rPr>
                <w:sz w:val="20"/>
                <w:szCs w:val="20"/>
                <w:color w:val="auto"/>
              </w:rPr>
            </w:pPr>
            <w:r>
              <w:rPr>
                <w:rFonts w:ascii="Arial" w:cs="Arial" w:eastAsia="Arial" w:hAnsi="Arial"/>
                <w:sz w:val="18"/>
                <w:szCs w:val="18"/>
                <w:color w:val="auto"/>
              </w:rPr>
              <w:t>Operating income (loss):</w:t>
            </w: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236"/>
        </w:trPr>
        <w:tc>
          <w:tcPr>
            <w:tcW w:w="8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2023</w:t>
            </w:r>
          </w:p>
        </w:tc>
        <w:tc>
          <w:tcPr>
            <w:tcW w:w="286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w:t>
            </w:r>
          </w:p>
        </w:tc>
        <w:tc>
          <w:tcPr>
            <w:tcW w:w="6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6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w:t>
            </w:r>
          </w:p>
        </w:tc>
        <w:tc>
          <w:tcPr>
            <w:tcW w:w="6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(649)</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1,131</w:t>
            </w:r>
          </w:p>
        </w:tc>
        <w:tc>
          <w:tcPr>
            <w:tcW w:w="320" w:type="dxa"/>
            <w:vAlign w:val="bottom"/>
            <w:shd w:val="clear" w:color="auto" w:fill="CCEEFF"/>
          </w:tcPr>
          <w:p>
            <w:pPr>
              <w:spacing w:after="0"/>
              <w:rPr>
                <w:sz w:val="20"/>
                <w:szCs w:val="20"/>
                <w:color w:val="auto"/>
              </w:rPr>
            </w:pPr>
          </w:p>
        </w:tc>
      </w:tr>
      <w:tr>
        <w:trPr>
          <w:trHeight w:val="230"/>
        </w:trPr>
        <w:tc>
          <w:tcPr>
            <w:tcW w:w="880" w:type="dxa"/>
            <w:vAlign w:val="bottom"/>
            <w:gridSpan w:val="2"/>
          </w:tcPr>
          <w:p>
            <w:pPr>
              <w:ind w:left="360"/>
              <w:spacing w:after="0"/>
              <w:rPr>
                <w:sz w:val="20"/>
                <w:szCs w:val="20"/>
                <w:color w:val="auto"/>
              </w:rPr>
            </w:pPr>
            <w:r>
              <w:rPr>
                <w:rFonts w:ascii="Arial" w:cs="Arial" w:eastAsia="Arial" w:hAnsi="Arial"/>
                <w:sz w:val="18"/>
                <w:szCs w:val="18"/>
                <w:color w:val="auto"/>
              </w:rPr>
              <w:t>2022</w:t>
            </w:r>
          </w:p>
        </w:tc>
        <w:tc>
          <w:tcPr>
            <w:tcW w:w="2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593</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281</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662</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ind w:right="150"/>
              <w:spacing w:after="0"/>
              <w:rPr>
                <w:sz w:val="20"/>
                <w:szCs w:val="20"/>
                <w:color w:val="auto"/>
              </w:rPr>
            </w:pPr>
            <w:r>
              <w:rPr>
                <w:rFonts w:ascii="Arial" w:cs="Arial" w:eastAsia="Arial" w:hAnsi="Arial"/>
                <w:sz w:val="18"/>
                <w:szCs w:val="18"/>
                <w:color w:val="auto"/>
              </w:rPr>
              <w:t>(676)</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860</w:t>
            </w:r>
          </w:p>
        </w:tc>
        <w:tc>
          <w:tcPr>
            <w:tcW w:w="320" w:type="dxa"/>
            <w:vAlign w:val="bottom"/>
          </w:tcPr>
          <w:p>
            <w:pPr>
              <w:spacing w:after="0"/>
              <w:rPr>
                <w:sz w:val="19"/>
                <w:szCs w:val="19"/>
                <w:color w:val="auto"/>
              </w:rPr>
            </w:pPr>
          </w:p>
        </w:tc>
      </w:tr>
      <w:tr>
        <w:trPr>
          <w:trHeight w:val="243"/>
        </w:trPr>
        <w:tc>
          <w:tcPr>
            <w:tcW w:w="20" w:type="dxa"/>
            <w:vAlign w:val="bottom"/>
            <w:shd w:val="clear" w:color="auto" w:fill="CCEEFF"/>
          </w:tcPr>
          <w:p>
            <w:pPr>
              <w:spacing w:after="0"/>
              <w:rPr>
                <w:sz w:val="21"/>
                <w:szCs w:val="21"/>
                <w:color w:val="auto"/>
              </w:rPr>
            </w:pPr>
          </w:p>
        </w:tc>
        <w:tc>
          <w:tcPr>
            <w:tcW w:w="37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Operating income growth</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6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6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6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27</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320" w:type="dxa"/>
            <w:vAlign w:val="bottom"/>
            <w:shd w:val="clear" w:color="auto" w:fill="CCEEFF"/>
          </w:tcPr>
          <w:p>
            <w:pPr>
              <w:spacing w:after="0"/>
              <w:rPr>
                <w:sz w:val="21"/>
                <w:szCs w:val="21"/>
                <w:color w:val="auto"/>
              </w:rPr>
            </w:pPr>
          </w:p>
        </w:tc>
      </w:tr>
      <w:tr>
        <w:trPr>
          <w:trHeight w:val="230"/>
        </w:trPr>
        <w:tc>
          <w:tcPr>
            <w:tcW w:w="20" w:type="dxa"/>
            <w:vAlign w:val="bottom"/>
          </w:tcPr>
          <w:p>
            <w:pPr>
              <w:spacing w:after="0"/>
              <w:rPr>
                <w:sz w:val="19"/>
                <w:szCs w:val="19"/>
                <w:color w:val="auto"/>
              </w:rPr>
            </w:pPr>
          </w:p>
        </w:tc>
        <w:tc>
          <w:tcPr>
            <w:tcW w:w="3720" w:type="dxa"/>
            <w:vAlign w:val="bottom"/>
            <w:gridSpan w:val="2"/>
          </w:tcPr>
          <w:p>
            <w:pPr>
              <w:ind w:left="340"/>
              <w:spacing w:after="0"/>
              <w:rPr>
                <w:sz w:val="20"/>
                <w:szCs w:val="20"/>
                <w:color w:val="auto"/>
              </w:rPr>
            </w:pPr>
            <w:r>
              <w:rPr>
                <w:rFonts w:ascii="Arial" w:cs="Arial" w:eastAsia="Arial" w:hAnsi="Arial"/>
                <w:sz w:val="18"/>
                <w:szCs w:val="18"/>
                <w:color w:val="auto"/>
              </w:rPr>
              <w:t>Operating income growth percentage</w:t>
            </w: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32</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shd w:val="clear" w:color="auto" w:fill="CCEEFF"/>
          </w:tcPr>
          <w:p>
            <w:pPr>
              <w:spacing w:after="0"/>
              <w:rPr>
                <w:sz w:val="19"/>
                <w:szCs w:val="19"/>
                <w:color w:val="auto"/>
              </w:rPr>
            </w:pPr>
          </w:p>
        </w:tc>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margin:</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r>
      <w:tr>
        <w:trPr>
          <w:trHeight w:val="237"/>
        </w:trPr>
        <w:tc>
          <w:tcPr>
            <w:tcW w:w="880" w:type="dxa"/>
            <w:vAlign w:val="bottom"/>
            <w:gridSpan w:val="2"/>
          </w:tcPr>
          <w:p>
            <w:pPr>
              <w:ind w:left="360"/>
              <w:spacing w:after="0"/>
              <w:rPr>
                <w:sz w:val="20"/>
                <w:szCs w:val="20"/>
                <w:color w:val="auto"/>
              </w:rPr>
            </w:pPr>
            <w:r>
              <w:rPr>
                <w:rFonts w:ascii="Arial" w:cs="Arial" w:eastAsia="Arial" w:hAnsi="Arial"/>
                <w:sz w:val="18"/>
                <w:szCs w:val="18"/>
                <w:color w:val="auto"/>
              </w:rPr>
              <w:t>2023</w:t>
            </w:r>
          </w:p>
        </w:tc>
        <w:tc>
          <w:tcPr>
            <w:tcW w:w="2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34.7</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36.3</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47.3</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23.8</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6"/>
        </w:trPr>
        <w:tc>
          <w:tcPr>
            <w:tcW w:w="8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2022</w:t>
            </w:r>
          </w:p>
        </w:tc>
        <w:tc>
          <w:tcPr>
            <w:tcW w:w="28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304"/>
        </w:trPr>
        <w:tc>
          <w:tcPr>
            <w:tcW w:w="20" w:type="dxa"/>
            <w:vAlign w:val="bottom"/>
          </w:tcPr>
          <w:p>
            <w:pPr>
              <w:spacing w:after="0"/>
              <w:rPr>
                <w:sz w:val="24"/>
                <w:szCs w:val="24"/>
                <w:color w:val="auto"/>
              </w:rPr>
            </w:pPr>
          </w:p>
        </w:tc>
        <w:tc>
          <w:tcPr>
            <w:tcW w:w="3720" w:type="dxa"/>
            <w:vAlign w:val="bottom"/>
            <w:gridSpan w:val="2"/>
          </w:tcPr>
          <w:p>
            <w:pPr>
              <w:ind w:left="340"/>
              <w:spacing w:after="0"/>
              <w:rPr>
                <w:sz w:val="20"/>
                <w:szCs w:val="20"/>
                <w:color w:val="auto"/>
              </w:rPr>
            </w:pPr>
            <w:r>
              <w:rPr>
                <w:rFonts w:ascii="Arial" w:cs="Arial" w:eastAsia="Arial" w:hAnsi="Arial"/>
                <w:sz w:val="18"/>
                <w:szCs w:val="18"/>
                <w:color w:val="auto"/>
              </w:rPr>
              <w:t xml:space="preserve">Operating margin growth </w:t>
            </w:r>
            <w:r>
              <w:rPr>
                <w:rFonts w:ascii="Arial" w:cs="Arial" w:eastAsia="Arial" w:hAnsi="Arial"/>
                <w:sz w:val="23"/>
                <w:szCs w:val="23"/>
                <w:color w:val="auto"/>
                <w:vertAlign w:val="superscript"/>
              </w:rPr>
              <w:t>(1)</w:t>
            </w:r>
          </w:p>
        </w:tc>
        <w:tc>
          <w:tcPr>
            <w:tcW w:w="2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350</w:t>
            </w:r>
          </w:p>
        </w:tc>
        <w:tc>
          <w:tcPr>
            <w:tcW w:w="660" w:type="dxa"/>
            <w:vAlign w:val="bottom"/>
            <w:gridSpan w:val="3"/>
          </w:tcPr>
          <w:p>
            <w:pPr>
              <w:jc w:val="right"/>
              <w:ind w:right="380"/>
              <w:spacing w:after="0"/>
              <w:rPr>
                <w:sz w:val="20"/>
                <w:szCs w:val="20"/>
                <w:color w:val="auto"/>
              </w:rPr>
            </w:pPr>
            <w:r>
              <w:rPr>
                <w:rFonts w:ascii="Arial" w:cs="Arial" w:eastAsia="Arial" w:hAnsi="Arial"/>
                <w:sz w:val="18"/>
                <w:szCs w:val="18"/>
                <w:color w:val="auto"/>
                <w:w w:val="89"/>
              </w:rPr>
              <w:t>bps</w:t>
            </w:r>
          </w:p>
        </w:tc>
        <w:tc>
          <w:tcPr>
            <w:tcW w:w="880" w:type="dxa"/>
            <w:vAlign w:val="bottom"/>
          </w:tcPr>
          <w:p>
            <w:pPr>
              <w:jc w:val="right"/>
              <w:spacing w:after="0"/>
              <w:rPr>
                <w:sz w:val="20"/>
                <w:szCs w:val="20"/>
                <w:color w:val="auto"/>
              </w:rPr>
            </w:pPr>
            <w:r>
              <w:rPr>
                <w:rFonts w:ascii="Arial" w:cs="Arial" w:eastAsia="Arial" w:hAnsi="Arial"/>
                <w:sz w:val="18"/>
                <w:szCs w:val="18"/>
                <w:color w:val="auto"/>
              </w:rPr>
              <w:t>130</w:t>
            </w:r>
          </w:p>
        </w:tc>
        <w:tc>
          <w:tcPr>
            <w:tcW w:w="640" w:type="dxa"/>
            <w:vAlign w:val="bottom"/>
            <w:gridSpan w:val="3"/>
          </w:tcPr>
          <w:p>
            <w:pPr>
              <w:jc w:val="right"/>
              <w:ind w:right="360"/>
              <w:spacing w:after="0"/>
              <w:rPr>
                <w:sz w:val="20"/>
                <w:szCs w:val="20"/>
                <w:color w:val="auto"/>
              </w:rPr>
            </w:pPr>
            <w:r>
              <w:rPr>
                <w:rFonts w:ascii="Arial" w:cs="Arial" w:eastAsia="Arial" w:hAnsi="Arial"/>
                <w:sz w:val="18"/>
                <w:szCs w:val="18"/>
                <w:color w:val="auto"/>
                <w:w w:val="89"/>
              </w:rPr>
              <w:t>bps</w:t>
            </w:r>
          </w:p>
        </w:tc>
        <w:tc>
          <w:tcPr>
            <w:tcW w:w="920" w:type="dxa"/>
            <w:vAlign w:val="bottom"/>
          </w:tcPr>
          <w:p>
            <w:pPr>
              <w:jc w:val="right"/>
              <w:spacing w:after="0"/>
              <w:rPr>
                <w:sz w:val="20"/>
                <w:szCs w:val="20"/>
                <w:color w:val="auto"/>
              </w:rPr>
            </w:pPr>
            <w:r>
              <w:rPr>
                <w:rFonts w:ascii="Arial" w:cs="Arial" w:eastAsia="Arial" w:hAnsi="Arial"/>
                <w:sz w:val="18"/>
                <w:szCs w:val="18"/>
                <w:color w:val="auto"/>
              </w:rPr>
              <w:t>370</w:t>
            </w:r>
          </w:p>
        </w:tc>
        <w:tc>
          <w:tcPr>
            <w:tcW w:w="620" w:type="dxa"/>
            <w:vAlign w:val="bottom"/>
            <w:gridSpan w:val="3"/>
          </w:tcPr>
          <w:p>
            <w:pPr>
              <w:jc w:val="right"/>
              <w:ind w:right="340"/>
              <w:spacing w:after="0"/>
              <w:rPr>
                <w:sz w:val="20"/>
                <w:szCs w:val="20"/>
                <w:color w:val="auto"/>
              </w:rPr>
            </w:pPr>
            <w:r>
              <w:rPr>
                <w:rFonts w:ascii="Arial" w:cs="Arial" w:eastAsia="Arial" w:hAnsi="Arial"/>
                <w:sz w:val="18"/>
                <w:szCs w:val="18"/>
                <w:color w:val="auto"/>
                <w:w w:val="89"/>
              </w:rPr>
              <w:t>bps</w:t>
            </w: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450</w:t>
            </w:r>
          </w:p>
        </w:tc>
        <w:tc>
          <w:tcPr>
            <w:tcW w:w="320" w:type="dxa"/>
            <w:vAlign w:val="bottom"/>
          </w:tcPr>
          <w:p>
            <w:pPr>
              <w:jc w:val="right"/>
              <w:spacing w:after="0"/>
              <w:rPr>
                <w:sz w:val="20"/>
                <w:szCs w:val="20"/>
                <w:color w:val="auto"/>
              </w:rPr>
            </w:pPr>
            <w:r>
              <w:rPr>
                <w:rFonts w:ascii="Arial" w:cs="Arial" w:eastAsia="Arial" w:hAnsi="Arial"/>
                <w:sz w:val="18"/>
                <w:szCs w:val="18"/>
                <w:color w:val="auto"/>
                <w:w w:val="96"/>
              </w:rPr>
              <w:t>bps</w:t>
            </w:r>
          </w:p>
        </w:tc>
      </w:tr>
    </w:tbl>
    <w:p>
      <w:pPr>
        <w:spacing w:after="0" w:line="83" w:lineRule="exact"/>
        <w:rPr>
          <w:sz w:val="20"/>
          <w:szCs w:val="20"/>
          <w:color w:val="auto"/>
        </w:rPr>
      </w:pPr>
    </w:p>
    <w:p>
      <w:pPr>
        <w:ind w:left="340" w:hanging="332"/>
        <w:spacing w:after="0"/>
        <w:tabs>
          <w:tab w:leader="none" w:pos="340" w:val="left"/>
        </w:tabs>
        <w:numPr>
          <w:ilvl w:val="0"/>
          <w:numId w:val="11"/>
        </w:numPr>
        <w:rPr>
          <w:rFonts w:ascii="Arial" w:cs="Arial" w:eastAsia="Arial" w:hAnsi="Arial"/>
          <w:sz w:val="21"/>
          <w:szCs w:val="21"/>
          <w:color w:val="auto"/>
          <w:vertAlign w:val="superscript"/>
        </w:rPr>
      </w:pPr>
      <w:r>
        <w:rPr>
          <w:rFonts w:ascii="Arial" w:cs="Arial" w:eastAsia="Arial" w:hAnsi="Arial"/>
          <w:sz w:val="16"/>
          <w:szCs w:val="16"/>
          <w:color w:val="auto"/>
        </w:rPr>
        <w:t>Represents the basis point growth in operating margin.</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3020" w:type="dxa"/>
            <w:vAlign w:val="bottom"/>
            <w:tcBorders>
              <w:bottom w:val="single" w:sz="8" w:color="auto"/>
            </w:tcBorders>
            <w:gridSpan w:val="8"/>
          </w:tcPr>
          <w:p>
            <w:pPr>
              <w:jc w:val="right"/>
              <w:ind w:right="60"/>
              <w:spacing w:after="0"/>
              <w:rPr>
                <w:sz w:val="20"/>
                <w:szCs w:val="20"/>
                <w:color w:val="auto"/>
              </w:rPr>
            </w:pPr>
            <w:r>
              <w:rPr>
                <w:rFonts w:ascii="Arial" w:cs="Arial" w:eastAsia="Arial" w:hAnsi="Arial"/>
                <w:sz w:val="18"/>
                <w:szCs w:val="18"/>
                <w:b w:val="1"/>
                <w:bCs w:val="1"/>
                <w:color w:val="auto"/>
              </w:rPr>
              <w:t>Six Months Ended June 30,</w:t>
            </w:r>
          </w:p>
        </w:tc>
        <w:tc>
          <w:tcPr>
            <w:tcW w:w="10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r>
      <w:tr>
        <w:trPr>
          <w:trHeight w:val="178"/>
        </w:trPr>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jc w:val="right"/>
              <w:ind w:right="130"/>
              <w:spacing w:after="0" w:line="177" w:lineRule="exact"/>
              <w:rPr>
                <w:sz w:val="20"/>
                <w:szCs w:val="20"/>
                <w:color w:val="auto"/>
              </w:rPr>
            </w:pPr>
            <w:r>
              <w:rPr>
                <w:rFonts w:ascii="Arial" w:cs="Arial" w:eastAsia="Arial" w:hAnsi="Arial"/>
                <w:sz w:val="18"/>
                <w:szCs w:val="18"/>
                <w:b w:val="1"/>
                <w:bCs w:val="1"/>
                <w:color w:val="auto"/>
                <w:w w:val="97"/>
              </w:rPr>
              <w:t>Corporate</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 w:type="dxa"/>
            <w:vAlign w:val="bottom"/>
          </w:tcPr>
          <w:p>
            <w:pPr>
              <w:spacing w:after="0"/>
              <w:rPr>
                <w:sz w:val="15"/>
                <w:szCs w:val="15"/>
                <w:color w:val="auto"/>
              </w:rPr>
            </w:pPr>
          </w:p>
        </w:tc>
      </w:tr>
      <w:tr>
        <w:trPr>
          <w:trHeight w:val="194"/>
        </w:trPr>
        <w:tc>
          <w:tcPr>
            <w:tcW w:w="20" w:type="dxa"/>
            <w:vAlign w:val="bottom"/>
          </w:tcPr>
          <w:p>
            <w:pPr>
              <w:spacing w:after="0"/>
              <w:rPr>
                <w:sz w:val="16"/>
                <w:szCs w:val="16"/>
                <w:color w:val="auto"/>
              </w:rPr>
            </w:pPr>
          </w:p>
        </w:tc>
        <w:tc>
          <w:tcPr>
            <w:tcW w:w="3700" w:type="dxa"/>
            <w:vAlign w:val="bottom"/>
            <w:gridSpan w:val="2"/>
          </w:tcPr>
          <w:p>
            <w:pPr>
              <w:spacing w:after="0"/>
              <w:rPr>
                <w:sz w:val="20"/>
                <w:szCs w:val="20"/>
                <w:color w:val="auto"/>
              </w:rPr>
            </w:pPr>
            <w:r>
              <w:rPr>
                <w:rFonts w:ascii="Arial" w:cs="Arial" w:eastAsia="Arial" w:hAnsi="Arial"/>
                <w:sz w:val="16"/>
                <w:szCs w:val="16"/>
                <w:b w:val="1"/>
                <w:bCs w:val="1"/>
                <w:color w:val="auto"/>
              </w:rPr>
              <w:t>(In millions)</w:t>
            </w:r>
          </w:p>
        </w:tc>
        <w:tc>
          <w:tcPr>
            <w:tcW w:w="200" w:type="dxa"/>
            <w:vAlign w:val="bottom"/>
          </w:tcPr>
          <w:p>
            <w:pPr>
              <w:spacing w:after="0"/>
              <w:rPr>
                <w:sz w:val="16"/>
                <w:szCs w:val="16"/>
                <w:color w:val="auto"/>
              </w:rPr>
            </w:pPr>
          </w:p>
        </w:tc>
        <w:tc>
          <w:tcPr>
            <w:tcW w:w="1000" w:type="dxa"/>
            <w:vAlign w:val="bottom"/>
          </w:tcPr>
          <w:p>
            <w:pPr>
              <w:jc w:val="right"/>
              <w:spacing w:after="0" w:line="194" w:lineRule="exact"/>
              <w:rPr>
                <w:sz w:val="20"/>
                <w:szCs w:val="20"/>
                <w:color w:val="auto"/>
              </w:rPr>
            </w:pPr>
            <w:r>
              <w:rPr>
                <w:rFonts w:ascii="Arial" w:cs="Arial" w:eastAsia="Arial" w:hAnsi="Arial"/>
                <w:sz w:val="18"/>
                <w:szCs w:val="18"/>
                <w:b w:val="1"/>
                <w:bCs w:val="1"/>
                <w:color w:val="auto"/>
                <w:w w:val="94"/>
              </w:rPr>
              <w:t>Acceptance</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jc w:val="right"/>
              <w:ind w:right="70"/>
              <w:spacing w:after="0" w:line="194" w:lineRule="exact"/>
              <w:rPr>
                <w:sz w:val="20"/>
                <w:szCs w:val="20"/>
                <w:color w:val="auto"/>
              </w:rPr>
            </w:pPr>
            <w:r>
              <w:rPr>
                <w:rFonts w:ascii="Arial" w:cs="Arial" w:eastAsia="Arial" w:hAnsi="Arial"/>
                <w:sz w:val="18"/>
                <w:szCs w:val="18"/>
                <w:b w:val="1"/>
                <w:bCs w:val="1"/>
                <w:color w:val="auto"/>
              </w:rPr>
              <w:t>Fintech</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jc w:val="right"/>
              <w:spacing w:after="0" w:line="194" w:lineRule="exact"/>
              <w:rPr>
                <w:sz w:val="20"/>
                <w:szCs w:val="20"/>
                <w:color w:val="auto"/>
              </w:rPr>
            </w:pPr>
            <w:r>
              <w:rPr>
                <w:rFonts w:ascii="Arial" w:cs="Arial" w:eastAsia="Arial" w:hAnsi="Arial"/>
                <w:sz w:val="18"/>
                <w:szCs w:val="18"/>
                <w:b w:val="1"/>
                <w:bCs w:val="1"/>
                <w:color w:val="auto"/>
              </w:rPr>
              <w:t>Payments</w:t>
            </w: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ind w:right="130"/>
              <w:spacing w:after="0" w:line="194" w:lineRule="exact"/>
              <w:rPr>
                <w:sz w:val="20"/>
                <w:szCs w:val="20"/>
                <w:color w:val="auto"/>
              </w:rPr>
            </w:pPr>
            <w:r>
              <w:rPr>
                <w:rFonts w:ascii="Arial" w:cs="Arial" w:eastAsia="Arial" w:hAnsi="Arial"/>
                <w:sz w:val="18"/>
                <w:szCs w:val="18"/>
                <w:b w:val="1"/>
                <w:bCs w:val="1"/>
                <w:color w:val="auto"/>
                <w:w w:val="98"/>
              </w:rPr>
              <w:t>and Other</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20" w:type="dxa"/>
            <w:vAlign w:val="bottom"/>
          </w:tcPr>
          <w:p>
            <w:pPr>
              <w:jc w:val="right"/>
              <w:ind w:right="130"/>
              <w:spacing w:after="0" w:line="194" w:lineRule="exact"/>
              <w:rPr>
                <w:sz w:val="20"/>
                <w:szCs w:val="20"/>
                <w:color w:val="auto"/>
              </w:rPr>
            </w:pPr>
            <w:r>
              <w:rPr>
                <w:rFonts w:ascii="Arial" w:cs="Arial" w:eastAsia="Arial" w:hAnsi="Arial"/>
                <w:sz w:val="18"/>
                <w:szCs w:val="18"/>
                <w:b w:val="1"/>
                <w:bCs w:val="1"/>
                <w:color w:val="auto"/>
              </w:rPr>
              <w:t>Total</w:t>
            </w:r>
          </w:p>
        </w:tc>
        <w:tc>
          <w:tcPr>
            <w:tcW w:w="320" w:type="dxa"/>
            <w:vAlign w:val="bottom"/>
          </w:tcPr>
          <w:p>
            <w:pPr>
              <w:spacing w:after="0"/>
              <w:rPr>
                <w:sz w:val="16"/>
                <w:szCs w:val="16"/>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28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revenue:</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r>
      <w:tr>
        <w:trPr>
          <w:trHeight w:val="229"/>
        </w:trPr>
        <w:tc>
          <w:tcPr>
            <w:tcW w:w="880" w:type="dxa"/>
            <w:vAlign w:val="bottom"/>
            <w:gridSpan w:val="2"/>
          </w:tcPr>
          <w:p>
            <w:pPr>
              <w:ind w:left="360"/>
              <w:spacing w:after="0"/>
              <w:rPr>
                <w:sz w:val="20"/>
                <w:szCs w:val="20"/>
                <w:color w:val="auto"/>
              </w:rPr>
            </w:pPr>
            <w:r>
              <w:rPr>
                <w:rFonts w:ascii="Arial" w:cs="Arial" w:eastAsia="Arial" w:hAnsi="Arial"/>
                <w:sz w:val="18"/>
                <w:szCs w:val="18"/>
                <w:color w:val="auto"/>
              </w:rPr>
              <w:t>2023</w:t>
            </w:r>
          </w:p>
        </w:tc>
        <w:tc>
          <w:tcPr>
            <w:tcW w:w="284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3,912</w:t>
            </w:r>
          </w:p>
        </w:tc>
        <w:tc>
          <w:tcPr>
            <w:tcW w:w="66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1,576</w:t>
            </w:r>
          </w:p>
        </w:tc>
        <w:tc>
          <w:tcPr>
            <w:tcW w:w="62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3,274</w:t>
            </w:r>
          </w:p>
        </w:tc>
        <w:tc>
          <w:tcPr>
            <w:tcW w:w="58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541</w:t>
            </w: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9,303</w:t>
            </w:r>
          </w:p>
        </w:tc>
        <w:tc>
          <w:tcPr>
            <w:tcW w:w="320" w:type="dxa"/>
            <w:vAlign w:val="bottom"/>
          </w:tcPr>
          <w:p>
            <w:pPr>
              <w:spacing w:after="0"/>
              <w:rPr>
                <w:sz w:val="19"/>
                <w:szCs w:val="19"/>
                <w:color w:val="auto"/>
              </w:rPr>
            </w:pPr>
          </w:p>
        </w:tc>
      </w:tr>
      <w:tr>
        <w:trPr>
          <w:trHeight w:val="230"/>
        </w:trPr>
        <w:tc>
          <w:tcPr>
            <w:tcW w:w="8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2022</w:t>
            </w:r>
          </w:p>
        </w:tc>
        <w:tc>
          <w:tcPr>
            <w:tcW w:w="28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3,554</w:t>
            </w: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1,581</w:t>
            </w: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2,980</w:t>
            </w: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8,588</w:t>
            </w:r>
          </w:p>
        </w:tc>
        <w:tc>
          <w:tcPr>
            <w:tcW w:w="320" w:type="dxa"/>
            <w:vAlign w:val="bottom"/>
            <w:shd w:val="clear" w:color="auto" w:fill="CCEEFF"/>
          </w:tcPr>
          <w:p>
            <w:pPr>
              <w:spacing w:after="0"/>
              <w:rPr>
                <w:sz w:val="19"/>
                <w:szCs w:val="19"/>
                <w:color w:val="auto"/>
              </w:rPr>
            </w:pPr>
          </w:p>
        </w:tc>
      </w:tr>
      <w:tr>
        <w:trPr>
          <w:trHeight w:val="237"/>
        </w:trPr>
        <w:tc>
          <w:tcPr>
            <w:tcW w:w="20" w:type="dxa"/>
            <w:vAlign w:val="bottom"/>
          </w:tcPr>
          <w:p>
            <w:pPr>
              <w:spacing w:after="0"/>
              <w:rPr>
                <w:sz w:val="20"/>
                <w:szCs w:val="20"/>
                <w:color w:val="auto"/>
              </w:rPr>
            </w:pPr>
          </w:p>
        </w:tc>
        <w:tc>
          <w:tcPr>
            <w:tcW w:w="3700" w:type="dxa"/>
            <w:vAlign w:val="bottom"/>
            <w:gridSpan w:val="2"/>
          </w:tcPr>
          <w:p>
            <w:pPr>
              <w:ind w:left="340"/>
              <w:spacing w:after="0"/>
              <w:rPr>
                <w:sz w:val="20"/>
                <w:szCs w:val="20"/>
                <w:color w:val="auto"/>
              </w:rPr>
            </w:pPr>
            <w:r>
              <w:rPr>
                <w:rFonts w:ascii="Arial" w:cs="Arial" w:eastAsia="Arial" w:hAnsi="Arial"/>
                <w:sz w:val="18"/>
                <w:szCs w:val="18"/>
                <w:color w:val="auto"/>
              </w:rPr>
              <w:t>Revenue growth (decline)</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358</w:t>
            </w:r>
          </w:p>
        </w:tc>
        <w:tc>
          <w:tcPr>
            <w:tcW w:w="66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w:t>
            </w:r>
          </w:p>
        </w:tc>
        <w:tc>
          <w:tcPr>
            <w:tcW w:w="62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294</w:t>
            </w:r>
          </w:p>
        </w:tc>
        <w:tc>
          <w:tcPr>
            <w:tcW w:w="58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68</w:t>
            </w: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715</w:t>
            </w:r>
          </w:p>
        </w:tc>
        <w:tc>
          <w:tcPr>
            <w:tcW w:w="320" w:type="dxa"/>
            <w:vAlign w:val="bottom"/>
          </w:tcPr>
          <w:p>
            <w:pPr>
              <w:spacing w:after="0"/>
              <w:rPr>
                <w:sz w:val="20"/>
                <w:szCs w:val="20"/>
                <w:color w:val="auto"/>
              </w:rPr>
            </w:pPr>
          </w:p>
        </w:tc>
      </w:tr>
      <w:tr>
        <w:trPr>
          <w:trHeight w:val="236"/>
        </w:trPr>
        <w:tc>
          <w:tcPr>
            <w:tcW w:w="20" w:type="dxa"/>
            <w:vAlign w:val="bottom"/>
            <w:shd w:val="clear" w:color="auto" w:fill="CCEEFF"/>
          </w:tcPr>
          <w:p>
            <w:pPr>
              <w:spacing w:after="0"/>
              <w:rPr>
                <w:sz w:val="20"/>
                <w:szCs w:val="20"/>
                <w:color w:val="auto"/>
              </w:rPr>
            </w:pPr>
          </w:p>
        </w:tc>
        <w:tc>
          <w:tcPr>
            <w:tcW w:w="37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Revenue growth percentage</w:t>
            </w:r>
          </w:p>
        </w:tc>
        <w:tc>
          <w:tcPr>
            <w:tcW w:w="2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20" w:type="dxa"/>
            <w:vAlign w:val="bottom"/>
          </w:tcPr>
          <w:p>
            <w:pPr>
              <w:spacing w:after="0"/>
              <w:rPr>
                <w:sz w:val="19"/>
                <w:szCs w:val="19"/>
                <w:color w:val="auto"/>
              </w:rPr>
            </w:pPr>
          </w:p>
        </w:tc>
        <w:tc>
          <w:tcPr>
            <w:tcW w:w="3700" w:type="dxa"/>
            <w:vAlign w:val="bottom"/>
            <w:gridSpan w:val="2"/>
          </w:tcPr>
          <w:p>
            <w:pPr>
              <w:spacing w:after="0"/>
              <w:rPr>
                <w:sz w:val="20"/>
                <w:szCs w:val="20"/>
                <w:color w:val="auto"/>
              </w:rPr>
            </w:pPr>
            <w:r>
              <w:rPr>
                <w:rFonts w:ascii="Arial" w:cs="Arial" w:eastAsia="Arial" w:hAnsi="Arial"/>
                <w:sz w:val="18"/>
                <w:szCs w:val="18"/>
                <w:color w:val="auto"/>
              </w:rPr>
              <w:t>Operating income (loss):</w:t>
            </w: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20" w:type="dxa"/>
            <w:vAlign w:val="bottom"/>
          </w:tcPr>
          <w:p>
            <w:pPr>
              <w:spacing w:after="0"/>
              <w:rPr>
                <w:sz w:val="19"/>
                <w:szCs w:val="19"/>
                <w:color w:val="auto"/>
              </w:rPr>
            </w:pPr>
          </w:p>
        </w:tc>
      </w:tr>
      <w:tr>
        <w:trPr>
          <w:trHeight w:val="243"/>
        </w:trPr>
        <w:tc>
          <w:tcPr>
            <w:tcW w:w="8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2023</w:t>
            </w:r>
          </w:p>
        </w:tc>
        <w:tc>
          <w:tcPr>
            <w:tcW w:w="284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1,280</w:t>
            </w:r>
          </w:p>
        </w:tc>
        <w:tc>
          <w:tcPr>
            <w:tcW w:w="6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w:t>
            </w:r>
          </w:p>
        </w:tc>
        <w:tc>
          <w:tcPr>
            <w:tcW w:w="6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1,488</w:t>
            </w:r>
          </w:p>
        </w:tc>
        <w:tc>
          <w:tcPr>
            <w:tcW w:w="5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(1,268)</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2,065</w:t>
            </w:r>
          </w:p>
        </w:tc>
        <w:tc>
          <w:tcPr>
            <w:tcW w:w="320" w:type="dxa"/>
            <w:vAlign w:val="bottom"/>
            <w:shd w:val="clear" w:color="auto" w:fill="CCEEFF"/>
          </w:tcPr>
          <w:p>
            <w:pPr>
              <w:spacing w:after="0"/>
              <w:rPr>
                <w:sz w:val="21"/>
                <w:szCs w:val="21"/>
                <w:color w:val="auto"/>
              </w:rPr>
            </w:pPr>
          </w:p>
        </w:tc>
      </w:tr>
      <w:tr>
        <w:trPr>
          <w:trHeight w:val="229"/>
        </w:trPr>
        <w:tc>
          <w:tcPr>
            <w:tcW w:w="880" w:type="dxa"/>
            <w:vAlign w:val="bottom"/>
            <w:gridSpan w:val="2"/>
          </w:tcPr>
          <w:p>
            <w:pPr>
              <w:ind w:left="360"/>
              <w:spacing w:after="0"/>
              <w:rPr>
                <w:sz w:val="20"/>
                <w:szCs w:val="20"/>
                <w:color w:val="auto"/>
              </w:rPr>
            </w:pPr>
            <w:r>
              <w:rPr>
                <w:rFonts w:ascii="Arial" w:cs="Arial" w:eastAsia="Arial" w:hAnsi="Arial"/>
                <w:sz w:val="18"/>
                <w:szCs w:val="18"/>
                <w:color w:val="auto"/>
              </w:rPr>
              <w:t>2022</w:t>
            </w:r>
          </w:p>
        </w:tc>
        <w:tc>
          <w:tcPr>
            <w:tcW w:w="2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1,063</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556</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1,280</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(1,193)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1,706</w:t>
            </w:r>
          </w:p>
        </w:tc>
        <w:tc>
          <w:tcPr>
            <w:tcW w:w="32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37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Operating income growth (decline)</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6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6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5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w:t>
            </w:r>
          </w:p>
        </w:tc>
        <w:tc>
          <w:tcPr>
            <w:tcW w:w="320" w:type="dxa"/>
            <w:vAlign w:val="bottom"/>
            <w:shd w:val="clear" w:color="auto" w:fill="CCEEFF"/>
          </w:tcPr>
          <w:p>
            <w:pPr>
              <w:spacing w:after="0"/>
              <w:rPr>
                <w:sz w:val="19"/>
                <w:szCs w:val="19"/>
                <w:color w:val="auto"/>
              </w:rPr>
            </w:pPr>
          </w:p>
        </w:tc>
      </w:tr>
      <w:tr>
        <w:trPr>
          <w:trHeight w:val="237"/>
        </w:trPr>
        <w:tc>
          <w:tcPr>
            <w:tcW w:w="20" w:type="dxa"/>
            <w:vAlign w:val="bottom"/>
          </w:tcPr>
          <w:p>
            <w:pPr>
              <w:spacing w:after="0"/>
              <w:rPr>
                <w:sz w:val="20"/>
                <w:szCs w:val="20"/>
                <w:color w:val="auto"/>
              </w:rPr>
            </w:pPr>
          </w:p>
        </w:tc>
        <w:tc>
          <w:tcPr>
            <w:tcW w:w="3700" w:type="dxa"/>
            <w:vAlign w:val="bottom"/>
            <w:gridSpan w:val="2"/>
          </w:tcPr>
          <w:p>
            <w:pPr>
              <w:ind w:left="340"/>
              <w:spacing w:after="0"/>
              <w:rPr>
                <w:sz w:val="20"/>
                <w:szCs w:val="20"/>
                <w:color w:val="auto"/>
              </w:rPr>
            </w:pPr>
            <w:r>
              <w:rPr>
                <w:rFonts w:ascii="Arial" w:cs="Arial" w:eastAsia="Arial" w:hAnsi="Arial"/>
                <w:sz w:val="18"/>
                <w:szCs w:val="18"/>
                <w:color w:val="auto"/>
              </w:rPr>
              <w:t>Operating income growth percentage</w:t>
            </w: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6"/>
        </w:trPr>
        <w:tc>
          <w:tcPr>
            <w:tcW w:w="20" w:type="dxa"/>
            <w:vAlign w:val="bottom"/>
            <w:shd w:val="clear" w:color="auto" w:fill="CCEEFF"/>
          </w:tcPr>
          <w:p>
            <w:pPr>
              <w:spacing w:after="0"/>
              <w:rPr>
                <w:sz w:val="20"/>
                <w:szCs w:val="20"/>
                <w:color w:val="auto"/>
              </w:rPr>
            </w:pPr>
          </w:p>
        </w:tc>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margin:</w:t>
            </w:r>
          </w:p>
        </w:tc>
        <w:tc>
          <w:tcPr>
            <w:tcW w:w="2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r>
      <w:tr>
        <w:trPr>
          <w:trHeight w:val="229"/>
        </w:trPr>
        <w:tc>
          <w:tcPr>
            <w:tcW w:w="880" w:type="dxa"/>
            <w:vAlign w:val="bottom"/>
            <w:gridSpan w:val="2"/>
          </w:tcPr>
          <w:p>
            <w:pPr>
              <w:ind w:left="360"/>
              <w:spacing w:after="0"/>
              <w:rPr>
                <w:sz w:val="20"/>
                <w:szCs w:val="20"/>
                <w:color w:val="auto"/>
              </w:rPr>
            </w:pPr>
            <w:r>
              <w:rPr>
                <w:rFonts w:ascii="Arial" w:cs="Arial" w:eastAsia="Arial" w:hAnsi="Arial"/>
                <w:sz w:val="18"/>
                <w:szCs w:val="18"/>
                <w:color w:val="auto"/>
              </w:rPr>
              <w:t>2023</w:t>
            </w:r>
          </w:p>
        </w:tc>
        <w:tc>
          <w:tcPr>
            <w:tcW w:w="2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32.7</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35.8</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45.5</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22.2</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8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2022</w:t>
            </w:r>
          </w:p>
        </w:tc>
        <w:tc>
          <w:tcPr>
            <w:tcW w:w="28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304"/>
        </w:trPr>
        <w:tc>
          <w:tcPr>
            <w:tcW w:w="20" w:type="dxa"/>
            <w:vAlign w:val="bottom"/>
          </w:tcPr>
          <w:p>
            <w:pPr>
              <w:spacing w:after="0"/>
              <w:rPr>
                <w:sz w:val="24"/>
                <w:szCs w:val="24"/>
                <w:color w:val="auto"/>
              </w:rPr>
            </w:pPr>
          </w:p>
        </w:tc>
        <w:tc>
          <w:tcPr>
            <w:tcW w:w="3700" w:type="dxa"/>
            <w:vAlign w:val="bottom"/>
            <w:gridSpan w:val="2"/>
          </w:tcPr>
          <w:p>
            <w:pPr>
              <w:ind w:left="340"/>
              <w:spacing w:after="0"/>
              <w:rPr>
                <w:sz w:val="20"/>
                <w:szCs w:val="20"/>
                <w:color w:val="auto"/>
              </w:rPr>
            </w:pPr>
            <w:r>
              <w:rPr>
                <w:rFonts w:ascii="Arial" w:cs="Arial" w:eastAsia="Arial" w:hAnsi="Arial"/>
                <w:sz w:val="18"/>
                <w:szCs w:val="18"/>
                <w:color w:val="auto"/>
              </w:rPr>
              <w:t xml:space="preserve">Operating margin growth </w:t>
            </w:r>
            <w:r>
              <w:rPr>
                <w:rFonts w:ascii="Arial" w:cs="Arial" w:eastAsia="Arial" w:hAnsi="Arial"/>
                <w:sz w:val="23"/>
                <w:szCs w:val="23"/>
                <w:color w:val="auto"/>
                <w:vertAlign w:val="superscript"/>
              </w:rPr>
              <w:t>(1)</w:t>
            </w:r>
          </w:p>
        </w:tc>
        <w:tc>
          <w:tcPr>
            <w:tcW w:w="2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280</w:t>
            </w:r>
          </w:p>
        </w:tc>
        <w:tc>
          <w:tcPr>
            <w:tcW w:w="660" w:type="dxa"/>
            <w:vAlign w:val="bottom"/>
            <w:gridSpan w:val="3"/>
          </w:tcPr>
          <w:p>
            <w:pPr>
              <w:jc w:val="right"/>
              <w:ind w:right="400"/>
              <w:spacing w:after="0"/>
              <w:rPr>
                <w:sz w:val="20"/>
                <w:szCs w:val="20"/>
                <w:color w:val="auto"/>
              </w:rPr>
            </w:pPr>
            <w:r>
              <w:rPr>
                <w:rFonts w:ascii="Arial" w:cs="Arial" w:eastAsia="Arial" w:hAnsi="Arial"/>
                <w:sz w:val="18"/>
                <w:szCs w:val="18"/>
                <w:color w:val="auto"/>
                <w:w w:val="82"/>
              </w:rPr>
              <w:t>bps</w:t>
            </w:r>
          </w:p>
        </w:tc>
        <w:tc>
          <w:tcPr>
            <w:tcW w:w="900" w:type="dxa"/>
            <w:vAlign w:val="bottom"/>
          </w:tcPr>
          <w:p>
            <w:pPr>
              <w:jc w:val="right"/>
              <w:spacing w:after="0"/>
              <w:rPr>
                <w:sz w:val="20"/>
                <w:szCs w:val="20"/>
                <w:color w:val="auto"/>
              </w:rPr>
            </w:pPr>
            <w:r>
              <w:rPr>
                <w:rFonts w:ascii="Arial" w:cs="Arial" w:eastAsia="Arial" w:hAnsi="Arial"/>
                <w:sz w:val="18"/>
                <w:szCs w:val="18"/>
                <w:color w:val="auto"/>
              </w:rPr>
              <w:t>60</w:t>
            </w:r>
          </w:p>
        </w:tc>
        <w:tc>
          <w:tcPr>
            <w:tcW w:w="620" w:type="dxa"/>
            <w:vAlign w:val="bottom"/>
            <w:gridSpan w:val="3"/>
          </w:tcPr>
          <w:p>
            <w:pPr>
              <w:jc w:val="right"/>
              <w:ind w:right="360"/>
              <w:spacing w:after="0"/>
              <w:rPr>
                <w:sz w:val="20"/>
                <w:szCs w:val="20"/>
                <w:color w:val="auto"/>
              </w:rPr>
            </w:pPr>
            <w:r>
              <w:rPr>
                <w:rFonts w:ascii="Arial" w:cs="Arial" w:eastAsia="Arial" w:hAnsi="Arial"/>
                <w:sz w:val="18"/>
                <w:szCs w:val="18"/>
                <w:color w:val="auto"/>
                <w:w w:val="82"/>
              </w:rPr>
              <w:t>bps</w:t>
            </w:r>
          </w:p>
        </w:tc>
        <w:tc>
          <w:tcPr>
            <w:tcW w:w="920" w:type="dxa"/>
            <w:vAlign w:val="bottom"/>
          </w:tcPr>
          <w:p>
            <w:pPr>
              <w:jc w:val="right"/>
              <w:spacing w:after="0"/>
              <w:rPr>
                <w:sz w:val="20"/>
                <w:szCs w:val="20"/>
                <w:color w:val="auto"/>
              </w:rPr>
            </w:pPr>
            <w:r>
              <w:rPr>
                <w:rFonts w:ascii="Arial" w:cs="Arial" w:eastAsia="Arial" w:hAnsi="Arial"/>
                <w:sz w:val="18"/>
                <w:szCs w:val="18"/>
                <w:color w:val="auto"/>
              </w:rPr>
              <w:t>260</w:t>
            </w:r>
          </w:p>
        </w:tc>
        <w:tc>
          <w:tcPr>
            <w:tcW w:w="580" w:type="dxa"/>
            <w:vAlign w:val="bottom"/>
            <w:gridSpan w:val="3"/>
          </w:tcPr>
          <w:p>
            <w:pPr>
              <w:jc w:val="right"/>
              <w:ind w:right="280"/>
              <w:spacing w:after="0"/>
              <w:rPr>
                <w:sz w:val="20"/>
                <w:szCs w:val="20"/>
                <w:color w:val="auto"/>
              </w:rPr>
            </w:pPr>
            <w:r>
              <w:rPr>
                <w:rFonts w:ascii="Arial" w:cs="Arial" w:eastAsia="Arial" w:hAnsi="Arial"/>
                <w:sz w:val="18"/>
                <w:szCs w:val="18"/>
                <w:color w:val="auto"/>
                <w:w w:val="96"/>
              </w:rPr>
              <w:t>bps</w:t>
            </w: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230</w:t>
            </w:r>
          </w:p>
        </w:tc>
        <w:tc>
          <w:tcPr>
            <w:tcW w:w="320" w:type="dxa"/>
            <w:vAlign w:val="bottom"/>
          </w:tcPr>
          <w:p>
            <w:pPr>
              <w:jc w:val="right"/>
              <w:spacing w:after="0"/>
              <w:rPr>
                <w:sz w:val="20"/>
                <w:szCs w:val="20"/>
                <w:color w:val="auto"/>
              </w:rPr>
            </w:pPr>
            <w:r>
              <w:rPr>
                <w:rFonts w:ascii="Arial" w:cs="Arial" w:eastAsia="Arial" w:hAnsi="Arial"/>
                <w:sz w:val="18"/>
                <w:szCs w:val="18"/>
                <w:color w:val="auto"/>
                <w:w w:val="96"/>
              </w:rPr>
              <w:t>bps</w:t>
            </w:r>
          </w:p>
        </w:tc>
      </w:tr>
    </w:tbl>
    <w:p>
      <w:pPr>
        <w:spacing w:after="0" w:line="137" w:lineRule="exact"/>
        <w:rPr>
          <w:sz w:val="20"/>
          <w:szCs w:val="20"/>
          <w:color w:val="auto"/>
        </w:rPr>
      </w:pPr>
    </w:p>
    <w:p>
      <w:pPr>
        <w:ind w:left="340" w:hanging="332"/>
        <w:spacing w:after="0"/>
        <w:tabs>
          <w:tab w:leader="none" w:pos="340" w:val="left"/>
        </w:tabs>
        <w:numPr>
          <w:ilvl w:val="0"/>
          <w:numId w:val="12"/>
        </w:numPr>
        <w:rPr>
          <w:rFonts w:ascii="Arial" w:cs="Arial" w:eastAsia="Arial" w:hAnsi="Arial"/>
          <w:sz w:val="21"/>
          <w:szCs w:val="21"/>
          <w:color w:val="auto"/>
          <w:vertAlign w:val="superscript"/>
        </w:rPr>
      </w:pPr>
      <w:r>
        <w:rPr>
          <w:rFonts w:ascii="Arial" w:cs="Arial" w:eastAsia="Arial" w:hAnsi="Arial"/>
          <w:sz w:val="16"/>
          <w:szCs w:val="16"/>
          <w:color w:val="auto"/>
        </w:rPr>
        <w:t>Represents the basis point growth in operating margin.</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Operating margin percentages are calculated using actual, unrounded amounts.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Total Revenue</w:t>
      </w:r>
    </w:p>
    <w:p>
      <w:pPr>
        <w:spacing w:after="0" w:line="171"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Total revenue increased $306 million, or 7%, in the second quarter of 2023 and $715 million, or 8%, in the first six months of 2023 compared to 2022. The revenue increase was driven by higher global processing revenue and product sales across all of our business segments, partially offset by a 3% decrease due to foreign currency exchange rate fluctuations in both the second quarter and first six months of 2023.</w:t>
      </w:r>
    </w:p>
    <w:p>
      <w:pPr>
        <w:spacing w:after="0" w:line="130"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Revenue in our Acceptance segment increased $164 million, or 9%, in the second quarter of 2023 and $358 million, or 10%, in the first six months of 2023 compared to 2022. The revenue increase was driven by higher global merchant acquiring payment volumes in the second quarter and first six months of 2023, including in Latin America. The revenue increase also includes contributions from our Clover and Carat operating systems and the expansion of our merchant relationships through value-added services. Acceptance segment growth was partially offset by a 6% and 5% revenue decrease due to foreign currency exchange rate fluctuations in the second quarter and first six months of 2023, respectively.</w:t>
      </w:r>
    </w:p>
    <w:p>
      <w:pPr>
        <w:spacing w:after="0" w:line="122"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Revenue in our Fintech segment decreased $19 million, or 2%, in the second quarter of 2023 and was flat in the first six months of 2023 compared to 2022. The revenue decrease in the second quarter of 2023 was primarily driven by a decrease in termination fee revenue. The first six months of 2023 included a 2% increase in processing revenue.</w:t>
      </w:r>
    </w:p>
    <w:p>
      <w:pPr>
        <w:spacing w:after="0" w:line="13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Revenue in our Payments segment increased $127 million, or 8%, in the second quarter of 2023 and $294 million, or 10%, in the first six months of 2023 compared to 2022. In the second quarter and first six months of 2023, our debit processing business contributed 2% and 3%, respectively, to Payments revenue growth driven by an increase in debit transactions; our Output Solutions business contributed 2% in both the second quarter and first six months of 2023, primarily driven by increased volumes; and our credit processing business contributed 2% in both the second quarter and first six months of 2023, primarily driven by new business onboarding and an increase in active accounts. The remaining revenue growth was spread across our various other Payments segment businesses.</w:t>
      </w:r>
    </w:p>
    <w:p>
      <w:pPr>
        <w:spacing w:after="0" w:line="138"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Revenue at Corporate and Other increased $34 million, or 15%, in the second quarter of 2023 and $68 million, or 14%, in the first six months of 2023 compared to 2022, primarily due to increased postage revenue.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Total Expenses</w:t>
      </w:r>
    </w:p>
    <w:p>
      <w:pPr>
        <w:spacing w:after="0" w:line="17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Total expenses increased $35 million, or 1%, in the second quarter of 2023 and $356 million, or 5%, in the first six months of 2023 compared to 2022. Total expenses as a percentage of total revenue decreased 450 basis points to 76.2% in the second quarter of 2023 and 230 basis points to 77.8% in the first six months of 2023 compared to 2022. Total expenses as a percentage of total revenue were favorably impacted in the second quarter and first six months of 2023 by a reduction in amortization of acquisition-related intangible assets of approximately 90 basis points and 100 basis points, respectively. Total expenses as a</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percentage of total revenue were also favorably impacted by operating leverage and a reduction of approximately 60 basis points in severance costs in both the second quarter and first six months of 2023.</w:t>
      </w:r>
    </w:p>
    <w:p>
      <w:pPr>
        <w:spacing w:after="0" w:line="116"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Cost of processing and services as a percentage of processing and services revenue decreased to 34.4% in the second quarter of 2023 compared to 40.6% in the second quarter of 2022 and decreased to 36.3% in the first six months of 2023 compared to 41.6% in the first six months of 2022. Cost of processing and services as a percentage of processing and services revenue was favorably impacted by strong operating leverage accompanying scalable revenue growth, along with approximately 50 basis points from decreased severance costs in both the second quarter and first six months of 2023.</w:t>
      </w:r>
    </w:p>
    <w:p>
      <w:pPr>
        <w:spacing w:after="0" w:line="103"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Cost of product as a percentage of product revenue decreased to 69.5% in the second quarter of 2023 compared to 71.9% in the second quarter of 2022 and decreased to 69.1% in the first six months of 2023 compared to 70.5% in the first six months of 2022. The cost of product as a percentage of product revenue improved in the second quarter and first six months of 2023 as a result of revenue mix, including increased hardware revenue.</w:t>
      </w:r>
    </w:p>
    <w:p>
      <w:pPr>
        <w:spacing w:after="0" w:line="111" w:lineRule="exact"/>
        <w:rPr>
          <w:sz w:val="20"/>
          <w:szCs w:val="20"/>
          <w:color w:val="auto"/>
        </w:rPr>
      </w:pPr>
    </w:p>
    <w:p>
      <w:pPr>
        <w:ind w:right="220"/>
        <w:spacing w:after="0" w:line="301" w:lineRule="auto"/>
        <w:rPr>
          <w:sz w:val="20"/>
          <w:szCs w:val="20"/>
          <w:color w:val="auto"/>
        </w:rPr>
      </w:pPr>
      <w:r>
        <w:rPr>
          <w:rFonts w:ascii="Arial" w:cs="Arial" w:eastAsia="Arial" w:hAnsi="Arial"/>
          <w:sz w:val="16"/>
          <w:szCs w:val="16"/>
          <w:color w:val="auto"/>
        </w:rPr>
        <w:t>Selling, general and administrative expenses as a percentage of total revenue increased to 35.7% in the second quarter of 2023 compared to 34.7% in the second quarter of 2022 and increased to 35.5% in the first six months of 2023 compared to 35.1% in the first six months of 2022. The increase in selling, general and administrative expenses as a percentage of total revenue in the second quarter and first six months of 2023 was due to increased personnel costs, including share-based compensation and commission costs, partially offset by a reduction in amortization of acquisition-related intangible assets.</w:t>
      </w:r>
    </w:p>
    <w:p>
      <w:pPr>
        <w:spacing w:after="0" w:line="103"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net gain on sale of businesses and other assets in the first six months of 2022 included a $147 million pre-tax gain from the sale of certain merchant contracts in conjunction with the mutual termination of one of our merchant alliance joint ventures.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 and Operating Margin</w:t>
      </w:r>
    </w:p>
    <w:p>
      <w:pPr>
        <w:spacing w:after="0" w:line="17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Total operating income increased $271 million, or 32%, in the second quarter of 2023 and increased $359 million, or 21%, in the first six months of 2023 compared to 2022. Total operating margin increased 450 basis points to 23.8% in the second quarter of 2023 and increased 230 basis points to 22.2% in the first six months of 2023 compared to 2022. Total operating income and total operating margin benefited from revenue growth in the second quarter and first six months of 2023, along with a reduction in amortization of acquisition related intangible assets. Total operating margin in the first six months of 2022 was favorably impacted by a $147 million pre-tax gain from the sale of certain merchant contracts in conjunction with the termination of one of our merchant alliance joint ventures.</w:t>
      </w:r>
    </w:p>
    <w:p>
      <w:pPr>
        <w:spacing w:after="0" w:line="13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Operating income in our Acceptance segment increased $125 million, or 21%, in the second quarter of 2023 and increased $217 million, or 20%, in the first six months of 2023 compared to 2022. Operating margin increased 350 basis points to 34.7% in the second quarter of 2023 and 280 basis points to 32.7% in the first six months of 2023 compared to 2022. Operating income and operating margin growth in our Acceptance segment was primarily due to operating leverage.</w:t>
      </w:r>
    </w:p>
    <w:p>
      <w:pPr>
        <w:spacing w:after="0" w:line="13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Operating income in our Fintech segment increased $4 million, or 1%, in the second quarter of 2023 and increased $9 million, or 2%, in the first six months of 2023 compared to 2022. Operating margin increased 130 basis points to 36.3% in the second quarter of 2023 and increased 60 basis points to 35.8% in the first six months of 2023 compared to 2022. Operating income and operating margin growth in our Fintech segment was primarily due to operating leverage and expense management initiatives.</w:t>
      </w:r>
    </w:p>
    <w:p>
      <w:pPr>
        <w:spacing w:after="0" w:line="133"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Operating income in our Payments segment increased $115 million, or 17%, in the second quarter of 2023 and increased $208 million, or 16%, in the first six months of 2023 compared to 2022. Operating margin increased 370 basis points to 47.3% in the second quarter of 2023 and increased 260 basis points to 45.5% in the first six months of 2023 compared to 2022. Payments segment operating income and margin growth in the second quarter and first six months of 2023 was primarily due to scalable revenue growth from our debit and credit processing businesses and productivity.</w:t>
      </w:r>
    </w:p>
    <w:p>
      <w:pPr>
        <w:spacing w:after="0" w:line="117" w:lineRule="exact"/>
        <w:rPr>
          <w:sz w:val="20"/>
          <w:szCs w:val="20"/>
          <w:color w:val="auto"/>
        </w:rPr>
      </w:pPr>
    </w:p>
    <w:p>
      <w:pPr>
        <w:jc w:val="both"/>
        <w:ind w:right="240"/>
        <w:spacing w:after="0" w:line="301" w:lineRule="auto"/>
        <w:rPr>
          <w:sz w:val="20"/>
          <w:szCs w:val="20"/>
          <w:color w:val="auto"/>
        </w:rPr>
      </w:pPr>
      <w:r>
        <w:rPr>
          <w:rFonts w:ascii="Arial" w:cs="Arial" w:eastAsia="Arial" w:hAnsi="Arial"/>
          <w:sz w:val="16"/>
          <w:szCs w:val="16"/>
          <w:color w:val="auto"/>
        </w:rPr>
        <w:t>The operating loss in Corporate and Other decreased $27 million in the second quarter of 2023 and increased $75 million in the first six months of 2023 compared to 2022. The operating loss in the first six months of 2022 included a $147 million pre-tax gain from the sale of certain merchant contracts in conjunction with the mutual termination of one of our merchant alliance joint ventures. The operating loss was favorably impacted by a reduction of $41 million and $89 million in amortization of acquisition related intangible assets in the second quarter and first six months of 2023, respectively.</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Net</w:t>
      </w:r>
    </w:p>
    <w:p>
      <w:pPr>
        <w:spacing w:after="0" w:line="17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Interest expense, net increased $56 million, or 32%, in the second quarter of 2023 compared to 2022 and increased $90 million, or 26%, in the first six months of 2023 compared to 2022 due to higher interest rates on our variable rate debt, as well as our public offering and issuance of $1.8 billion of fixed-rate senior notes in March 2023, 800 million Euros of fixed-rate senior notes in May 2023 and increased borrowing associated with our settlement advance cash program in Latin America.</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Expense, Net</w:t>
      </w:r>
    </w:p>
    <w:p>
      <w:pPr>
        <w:spacing w:after="0" w:line="171" w:lineRule="exact"/>
        <w:rPr>
          <w:sz w:val="20"/>
          <w:szCs w:val="20"/>
          <w:color w:val="auto"/>
        </w:rPr>
      </w:pPr>
    </w:p>
    <w:p>
      <w:pPr>
        <w:ind w:right="100"/>
        <w:spacing w:after="0" w:line="301" w:lineRule="auto"/>
        <w:rPr>
          <w:sz w:val="20"/>
          <w:szCs w:val="20"/>
          <w:color w:val="auto"/>
        </w:rPr>
      </w:pPr>
      <w:r>
        <w:rPr>
          <w:rFonts w:ascii="Arial" w:cs="Arial" w:eastAsia="Arial" w:hAnsi="Arial"/>
          <w:sz w:val="16"/>
          <w:szCs w:val="16"/>
          <w:color w:val="auto"/>
        </w:rPr>
        <w:t>Other expense, net decreased $24 million in the first six months of 2023 compared to 2022. Other expense, net includes foreign currency transaction gains and losses, gains or losses from a change in fair value of investments in certain equity securities, and amounts related to debt guarantee arrangements of certain joint ventures. Net foreign currency transaction losses increased $48 million in the first six months of 2023 compared to 2022, primarily related to Argentina. Other expense, net in the first six months of 2022 included net pre-tax expense of $59 million associated with joint venture debt guarantees.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Provision</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Income tax provision as a percentage of income before income taxes and (loss) income from investments in unconsolidated affiliates was 20.7% and 22.2% for the three months ended June 30, 2023 and 2022, respectively, and was 19.2% and 18.2% for the six months ended June 30, 2023 and 2022, respectively. The effective income tax rate for both the six months ended June 30, 2023 and 2022 include discrete tax benefits from subsidiary restructurings and equity compensation related tax benefits.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(Loss) Income from Investments in Unconsolidated Affiliates</w:t>
      </w:r>
    </w:p>
    <w:p>
      <w:pPr>
        <w:spacing w:after="0" w:line="17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Our share of net (loss) income from unconsolidated affiliates accounted for using the equity method is reported as (loss) income from investments in unconsolidated affiliates, and the related tax expense is reported within the income tax provision in the consolidated statements of income. (Loss) income from investments in unconsolidated affiliates, including acquired intangible asset amortization from valuations in purchase accounting, was $3 million and $128 million in the second quarter of 2023 and 2022, respectively, and $(9) million and $234 million in the first six months of 2023 and 2022, respectively</w:t>
      </w:r>
      <w:r>
        <w:rPr>
          <w:rFonts w:ascii="Arial" w:cs="Arial" w:eastAsia="Arial" w:hAnsi="Arial"/>
          <w:sz w:val="17"/>
          <w:szCs w:val="17"/>
          <w:i w:val="1"/>
          <w:iCs w:val="1"/>
          <w:color w:val="auto"/>
        </w:rPr>
        <w:t>.</w:t>
      </w:r>
      <w:r>
        <w:rPr>
          <w:rFonts w:ascii="Arial" w:cs="Arial" w:eastAsia="Arial" w:hAnsi="Arial"/>
          <w:sz w:val="17"/>
          <w:szCs w:val="17"/>
          <w:color w:val="auto"/>
        </w:rPr>
        <w:t xml:space="preserve"> Income from investments in unconsolidated affiliates in the first six months of 2022 included pre-tax net gains totaling $209 million primarily related to the acquisition-date fair value remeasurement of our previously held equity interest in Finxact of $110 million, as well as $80 million resulting from the dilution of our ownership interest in conjunction with the Sagent M&amp;C, LLC transaction with a third party.</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 Attributable to Noncontrolling Interests</w:t>
      </w:r>
    </w:p>
    <w:p>
      <w:pPr>
        <w:spacing w:after="0" w:line="171"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Net income attributable to noncontrolling interests and redeemable noncontrolling interests relates to the minority partners’ share of the net income in our consolidated subsidiaries. Net income attributable to noncontrolling interests, including acquired intangible asset amortization from valuations in purchase accounting, was $12 million and $11 million in the second quarter of 2023 and 2022, respectively, and $25 million and $24 million in the first six months of 2023 and 2022, respectively.</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 Per Share – Diluted</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Net income attributable to Fiserv, Inc. per share-diluted was $1.10 and $0.92 in the second quarter of 2023 and 2022, respectively, and was $1.99 and $1.94 in the first six months of 2023 and 2022, respectively. Net income attributable to Fiserv, Inc. per share-diluted in the first six months of 2022 included pre-tax net gains totaling $209 million related to certain equity investment transactions.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w:t>
      </w:r>
    </w:p>
    <w:p>
      <w:pPr>
        <w:spacing w:after="0" w:line="17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Our primary liquidity needs in the ordinary course of business are to: (i) fund normal operating expenses; (ii) meet the interest and principal requirements of our outstanding indebtedness, including finance leases; and (iii) fund capital expenditures and operating lease payments. We believe these needs will be satisfied in both the short and long term using cash flow generated by our operations, along with our cash and cash equivalents of $1.1 billion, proceeds from the issuance of U.S. dollar and Euro commercial paper, and available capacity under our revolving credit facility of $1.8 billion (net of outstanding borrowings and $4.2 billion of capacity designated for outstanding borrowings under our commercial paper programs, senior notes due in 2023 and letters of credit) at June 30, 2023.</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9" w:name="page40"/>
    <w:bookmarkEnd w:id="3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following table summarizes our net cash provided by operating activities, or operating cash flow, and capital expenditure amounts for the six months ended June 30, 2023 and 2022, respectively:</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500" w:type="dxa"/>
            <w:vAlign w:val="bottom"/>
            <w:gridSpan w:val="4"/>
          </w:tcPr>
          <w:p>
            <w:pPr>
              <w:jc w:val="right"/>
              <w:ind w:right="590"/>
              <w:spacing w:after="0"/>
              <w:rPr>
                <w:sz w:val="20"/>
                <w:szCs w:val="20"/>
                <w:color w:val="auto"/>
              </w:rPr>
            </w:pPr>
            <w:r>
              <w:rPr>
                <w:rFonts w:ascii="Arial" w:cs="Arial" w:eastAsia="Arial" w:hAnsi="Arial"/>
                <w:sz w:val="18"/>
                <w:szCs w:val="18"/>
                <w:b w:val="1"/>
                <w:bCs w:val="1"/>
                <w:color w:val="auto"/>
              </w:rPr>
              <w:t>Six Months Ended</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0" w:type="dxa"/>
            <w:vAlign w:val="bottom"/>
            <w:gridSpan w:val="3"/>
            <w:vMerge w:val="restart"/>
          </w:tcPr>
          <w:p>
            <w:pPr>
              <w:jc w:val="right"/>
              <w:ind w:right="740"/>
              <w:spacing w:after="0"/>
              <w:rPr>
                <w:sz w:val="20"/>
                <w:szCs w:val="20"/>
                <w:color w:val="auto"/>
              </w:rPr>
            </w:pPr>
            <w:r>
              <w:rPr>
                <w:rFonts w:ascii="Arial" w:cs="Arial" w:eastAsia="Arial" w:hAnsi="Arial"/>
                <w:sz w:val="18"/>
                <w:szCs w:val="18"/>
                <w:b w:val="1"/>
                <w:bCs w:val="1"/>
                <w:color w:val="auto"/>
              </w:rPr>
              <w:t>Increase (Decrease)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4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8"/>
                <w:szCs w:val="18"/>
                <w:b w:val="1"/>
                <w:bCs w:val="1"/>
                <w:color w:val="auto"/>
              </w:rPr>
              <w:t>June 30,</w:t>
            </w:r>
          </w:p>
        </w:tc>
        <w:tc>
          <w:tcPr>
            <w:tcW w:w="9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2600" w:type="dxa"/>
            <w:vAlign w:val="bottom"/>
            <w:tcBorders>
              <w:bottom w:val="single" w:sz="8" w:color="auto"/>
            </w:tcBorders>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320" w:type="dxa"/>
            <w:vAlign w:val="bottom"/>
            <w:gridSpan w:val="2"/>
          </w:tcPr>
          <w:p>
            <w:pPr>
              <w:spacing w:after="0"/>
              <w:rPr>
                <w:sz w:val="20"/>
                <w:szCs w:val="20"/>
                <w:color w:val="auto"/>
              </w:rPr>
            </w:pPr>
            <w:r>
              <w:rPr>
                <w:rFonts w:ascii="Arial" w:cs="Arial" w:eastAsia="Arial" w:hAnsi="Arial"/>
                <w:sz w:val="16"/>
                <w:szCs w:val="16"/>
                <w:b w:val="1"/>
                <w:bCs w:val="1"/>
                <w:color w:val="auto"/>
              </w:rPr>
              <w:t>(In millions)</w:t>
            </w:r>
          </w:p>
        </w:tc>
        <w:tc>
          <w:tcPr>
            <w:tcW w:w="300" w:type="dxa"/>
            <w:vAlign w:val="bottom"/>
          </w:tcPr>
          <w:p>
            <w:pPr>
              <w:spacing w:after="0"/>
              <w:rPr>
                <w:sz w:val="17"/>
                <w:szCs w:val="17"/>
                <w:color w:val="auto"/>
              </w:rPr>
            </w:pPr>
          </w:p>
        </w:tc>
        <w:tc>
          <w:tcPr>
            <w:tcW w:w="1060" w:type="dxa"/>
            <w:vAlign w:val="bottom"/>
          </w:tcPr>
          <w:p>
            <w:pPr>
              <w:jc w:val="right"/>
              <w:ind w:right="410"/>
              <w:spacing w:after="0" w:line="196" w:lineRule="exact"/>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60" w:type="dxa"/>
            <w:vAlign w:val="bottom"/>
          </w:tcPr>
          <w:p>
            <w:pPr>
              <w:jc w:val="right"/>
              <w:ind w:right="410"/>
              <w:spacing w:after="0" w:line="196" w:lineRule="exact"/>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jc w:val="right"/>
              <w:ind w:right="550"/>
              <w:spacing w:after="0" w:line="196" w:lineRule="exact"/>
              <w:rPr>
                <w:sz w:val="20"/>
                <w:szCs w:val="20"/>
                <w:color w:val="auto"/>
              </w:rPr>
            </w:pPr>
            <w:r>
              <w:rPr>
                <w:rFonts w:ascii="Arial" w:cs="Arial" w:eastAsia="Arial" w:hAnsi="Arial"/>
                <w:sz w:val="18"/>
                <w:szCs w:val="18"/>
                <w:b w:val="1"/>
                <w:bCs w:val="1"/>
                <w:color w:val="auto"/>
              </w:rPr>
              <w:t>$</w:t>
            </w:r>
          </w:p>
        </w:tc>
        <w:tc>
          <w:tcPr>
            <w:tcW w:w="1600" w:type="dxa"/>
            <w:vAlign w:val="bottom"/>
            <w:gridSpan w:val="2"/>
          </w:tcPr>
          <w:p>
            <w:pPr>
              <w:jc w:val="right"/>
              <w:ind w:right="640"/>
              <w:spacing w:after="0" w:line="196" w:lineRule="exact"/>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44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320" w:type="dxa"/>
            <w:vAlign w:val="bottom"/>
            <w:gridSpan w:val="2"/>
          </w:tcPr>
          <w:p>
            <w:pPr>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1,605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1,630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2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320" w:type="dxa"/>
            <w:vAlign w:val="bottom"/>
            <w:gridSpan w:val="2"/>
          </w:tcPr>
          <w:p>
            <w:pPr>
              <w:spacing w:after="0"/>
              <w:rPr>
                <w:sz w:val="20"/>
                <w:szCs w:val="20"/>
                <w:color w:val="auto"/>
              </w:rPr>
            </w:pPr>
            <w:r>
              <w:rPr>
                <w:rFonts w:ascii="Arial" w:cs="Arial" w:eastAsia="Arial" w:hAnsi="Arial"/>
                <w:sz w:val="18"/>
                <w:szCs w:val="18"/>
                <w:color w:val="auto"/>
              </w:rPr>
              <w:t>Deferred income taxes</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(317)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131</w:t>
            </w:r>
          </w:p>
        </w:tc>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 (gain) on sale of businesses and other assets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320" w:type="dxa"/>
            <w:vAlign w:val="bottom"/>
            <w:gridSpan w:val="2"/>
          </w:tcPr>
          <w:p>
            <w:pPr>
              <w:spacing w:after="0"/>
              <w:rPr>
                <w:sz w:val="20"/>
                <w:szCs w:val="20"/>
                <w:color w:val="auto"/>
              </w:rPr>
            </w:pPr>
            <w:r>
              <w:rPr>
                <w:rFonts w:ascii="Arial" w:cs="Arial" w:eastAsia="Arial" w:hAnsi="Arial"/>
                <w:sz w:val="18"/>
                <w:szCs w:val="18"/>
                <w:color w:val="auto"/>
              </w:rPr>
              <w:t>Loss (income) from investments in unconsolidated affiliates</w:t>
            </w: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(234)</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243</w:t>
            </w: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20" w:type="dxa"/>
            <w:vAlign w:val="bottom"/>
            <w:shd w:val="clear" w:color="auto" w:fill="CCEEFF"/>
          </w:tcPr>
          <w:p>
            <w:pPr>
              <w:spacing w:after="0"/>
              <w:rPr>
                <w:sz w:val="20"/>
                <w:szCs w:val="20"/>
                <w:color w:val="auto"/>
              </w:rPr>
            </w:pPr>
          </w:p>
        </w:tc>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Distributions from unconsolidated affiliates</w:t>
            </w: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53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Net changes in working capital and other</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(614)</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w:t>
            </w:r>
          </w:p>
        </w:tc>
        <w:tc>
          <w:tcPr>
            <w:tcW w:w="120" w:type="dxa"/>
            <w:vAlign w:val="bottom"/>
            <w:tcBorders>
              <w:bottom w:val="single" w:sz="8" w:color="CCEEFF"/>
            </w:tcBorders>
          </w:tcPr>
          <w:p>
            <w:pPr>
              <w:spacing w:after="0"/>
              <w:rPr>
                <w:sz w:val="19"/>
                <w:szCs w:val="19"/>
                <w:color w:val="auto"/>
              </w:rPr>
            </w:pPr>
          </w:p>
        </w:tc>
        <w:tc>
          <w:tcPr>
            <w:tcW w:w="14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3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16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11 %</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vMerge w:val="restart"/>
          </w:tcPr>
          <w:p>
            <w:pPr>
              <w:spacing w:after="0" w:line="20" w:lineRule="exact"/>
              <w:rPr>
                <w:sz w:val="1"/>
                <w:szCs w:val="1"/>
                <w:color w:val="auto"/>
              </w:rPr>
            </w:pPr>
          </w:p>
        </w:tc>
        <w:tc>
          <w:tcPr>
            <w:tcW w:w="5320" w:type="dxa"/>
            <w:vAlign w:val="bottom"/>
            <w:tcBorders>
              <w:top w:val="single" w:sz="8" w:color="CCEEFF"/>
            </w:tcBorders>
            <w:gridSpan w:val="2"/>
            <w:vMerge w:val="restart"/>
          </w:tcPr>
          <w:p>
            <w:pPr>
              <w:spacing w:after="0"/>
              <w:rPr>
                <w:sz w:val="20"/>
                <w:szCs w:val="20"/>
                <w:color w:val="auto"/>
              </w:rPr>
            </w:pPr>
            <w:r>
              <w:rPr>
                <w:rFonts w:ascii="Arial" w:cs="Arial" w:eastAsia="Arial" w:hAnsi="Arial"/>
                <w:sz w:val="18"/>
                <w:szCs w:val="18"/>
                <w:color w:val="auto"/>
                <w:w w:val="91"/>
              </w:rPr>
              <w:t>Capital expenditures, including capitalized software and other intangibles</w:t>
            </w:r>
          </w:p>
        </w:tc>
        <w:tc>
          <w:tcPr>
            <w:tcW w:w="3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gridSpan w:val="2"/>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gridSpan w:val="2"/>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Borders>
              <w:top w:val="single" w:sz="8" w:color="CCEEFF"/>
            </w:tcBorders>
            <w:vMerge w:val="continue"/>
          </w:tcPr>
          <w:p>
            <w:pPr>
              <w:spacing w:after="0"/>
              <w:rPr>
                <w:sz w:val="17"/>
                <w:szCs w:val="17"/>
                <w:color w:val="auto"/>
              </w:rPr>
            </w:pPr>
          </w:p>
        </w:tc>
        <w:tc>
          <w:tcPr>
            <w:tcW w:w="5320" w:type="dxa"/>
            <w:vAlign w:val="bottom"/>
            <w:tcBorders>
              <w:top w:val="single" w:sz="8" w:color="CCEEFF"/>
            </w:tcBorders>
            <w:gridSpan w:val="2"/>
            <w:vMerge w:val="continue"/>
          </w:tcPr>
          <w:p>
            <w:pPr>
              <w:spacing w:after="0"/>
              <w:rPr>
                <w:sz w:val="17"/>
                <w:szCs w:val="17"/>
                <w:color w:val="auto"/>
              </w:rPr>
            </w:pPr>
          </w:p>
        </w:tc>
        <w:tc>
          <w:tcPr>
            <w:tcW w:w="300" w:type="dxa"/>
            <w:vAlign w:val="bottom"/>
            <w:tcBorders>
              <w:top w:val="single" w:sz="8" w:color="auto"/>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679</w:t>
            </w:r>
          </w:p>
        </w:tc>
        <w:tc>
          <w:tcPr>
            <w:tcW w:w="100" w:type="dxa"/>
            <w:vAlign w:val="bottom"/>
          </w:tcPr>
          <w:p>
            <w:pPr>
              <w:spacing w:after="0"/>
              <w:rPr>
                <w:sz w:val="17"/>
                <w:szCs w:val="17"/>
                <w:color w:val="auto"/>
              </w:rPr>
            </w:pPr>
          </w:p>
        </w:tc>
        <w:tc>
          <w:tcPr>
            <w:tcW w:w="380" w:type="dxa"/>
            <w:vAlign w:val="bottom"/>
            <w:tcBorders>
              <w:top w:val="single" w:sz="8" w:color="auto"/>
              <w:bottom w:val="single" w:sz="8" w:color="auto"/>
            </w:tcBorders>
          </w:tcPr>
          <w:p>
            <w:pPr>
              <w:jc w:val="right"/>
              <w:ind w:right="190"/>
              <w:spacing w:after="0" w:line="203" w:lineRule="exact"/>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718</w:t>
            </w:r>
          </w:p>
        </w:tc>
        <w:tc>
          <w:tcPr>
            <w:tcW w:w="120" w:type="dxa"/>
            <w:vAlign w:val="bottom"/>
          </w:tcPr>
          <w:p>
            <w:pPr>
              <w:spacing w:after="0"/>
              <w:rPr>
                <w:sz w:val="17"/>
                <w:szCs w:val="17"/>
                <w:color w:val="auto"/>
              </w:rPr>
            </w:pPr>
          </w:p>
        </w:tc>
        <w:tc>
          <w:tcPr>
            <w:tcW w:w="360" w:type="dxa"/>
            <w:vAlign w:val="bottom"/>
            <w:tcBorders>
              <w:top w:val="single" w:sz="8" w:color="auto"/>
              <w:bottom w:val="single" w:sz="8" w:color="auto"/>
            </w:tcBorders>
          </w:tcPr>
          <w:p>
            <w:pPr>
              <w:jc w:val="right"/>
              <w:ind w:right="170"/>
              <w:spacing w:after="0" w:line="203" w:lineRule="exact"/>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(39)</w:t>
            </w:r>
          </w:p>
        </w:tc>
        <w:tc>
          <w:tcPr>
            <w:tcW w:w="1600" w:type="dxa"/>
            <w:vAlign w:val="bottom"/>
            <w:gridSpan w:val="2"/>
          </w:tcPr>
          <w:p>
            <w:pPr>
              <w:jc w:val="right"/>
              <w:ind w:right="20"/>
              <w:spacing w:after="0" w:line="203"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Our operating cash flow was $2.01 billion in the first six months of 2023, an increase of 11% compared with $1.81 billion in the first six months of 2022. This increase was primarily attributable to improved operating results, partially offset by higher working capital use compared to the prior period, including increased accounts receivable corresponding to revenue growth, higher income tax payments and timing of vendor payments.</w:t>
      </w:r>
    </w:p>
    <w:p>
      <w:pPr>
        <w:spacing w:after="0" w:line="111"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We maintain investments in various unconsolidated affiliates that are accounted for as equity method investments. Total distributions from unconsolidated affiliates, including those classified as cash flows from investing activities, were $109 million and $119 million in the first six months of 2023 and 2022, respectively.</w:t>
      </w:r>
    </w:p>
    <w:p>
      <w:pPr>
        <w:spacing w:after="0" w:line="130"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Our current policy is to use our operating cash flow primarily to fund capital expenditures, share repurchases, acquisitions and to repay debt rather than to pay dividends. Our capital expenditures were approximately 7% and 8% of our total revenue for the first six months of 2023 and 2022, respectively.</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Repurchases</w:t>
      </w:r>
    </w:p>
    <w:p>
      <w:pPr>
        <w:spacing w:after="0" w:line="17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repurchased $2.5 billion and $1.0 billion of our common stock during the first six months of 2023 and 2022, respectively. On February 22, 2023, our board of directors approved an additional repurchase authorization for up to 75.0 million shares of our common stock. As of June 30, 2023, we had approximately 70.1 million shares remaining under our current repurchase authorizations. Shares repurchased are generally held for issuance in connection with our equity plans.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Acquisitions and Dispositions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Acquisitions</w:t>
      </w:r>
    </w:p>
    <w:p>
      <w:pPr>
        <w:spacing w:after="0" w:line="171"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We acquired Yacaré and Merchant One in December 2022, NexTable in September 2022 and City POS in June 2022. Additionally, we acquired a remaining ownership interest in Finxact in April 2022, in which we previously held a noncontrolling interest. City POS and the remaining ownership interest in Finxact were acquired during the second quarter of 2022 for an aggregate purchase price of $671 million, net of $27 million of acquired cash, and NexTable during the third quarter of 2022 for $15 million, including earn-out provisions with a fair value of approximately $6 million. Merchant One and Yacaré were acquired in the fourth quarter of 2022 for an aggregate purchase price of $308 million, net of $1 million of acquired cash.</w:t>
      </w:r>
    </w:p>
    <w:p>
      <w:pPr>
        <w:spacing w:after="0" w:line="107" w:lineRule="exact"/>
        <w:rPr>
          <w:sz w:val="20"/>
          <w:szCs w:val="20"/>
          <w:color w:val="auto"/>
        </w:rPr>
      </w:pPr>
    </w:p>
    <w:p>
      <w:pPr>
        <w:ind w:right="420"/>
        <w:spacing w:after="0" w:line="308" w:lineRule="auto"/>
        <w:rPr>
          <w:sz w:val="20"/>
          <w:szCs w:val="20"/>
          <w:color w:val="auto"/>
        </w:rPr>
      </w:pPr>
      <w:r>
        <w:rPr>
          <w:rFonts w:ascii="Arial" w:cs="Arial" w:eastAsia="Arial" w:hAnsi="Arial"/>
          <w:sz w:val="17"/>
          <w:szCs w:val="17"/>
          <w:color w:val="auto"/>
        </w:rPr>
        <w:t>We funded these acquisitions in 2022 by utilizing a combination of available cash and proceeds from the issuance of commercial paper. The results of operations for these acquired businesses are included in our consolidated results from the respective dates of acquisition.</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Dispositions</w:t>
      </w:r>
    </w:p>
    <w:p>
      <w:pPr>
        <w:spacing w:after="0" w:line="17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In June 2023, we entered into an agreement to sell our financial reconciliation business. The transaction closed on July 25, 2023 for net cash proceeds of approximately $230 million, subject to customary adjustments. Net proceeds from the sale were</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0" w:name="page41"/>
    <w:bookmarkEnd w:id="4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color w:val="auto"/>
        </w:rPr>
        <w:t>primarily used to pay down indebtedness and repurchase shares of our common stock.</w:t>
      </w:r>
    </w:p>
    <w:p>
      <w:pPr>
        <w:spacing w:after="0" w:line="171" w:lineRule="exact"/>
        <w:rPr>
          <w:sz w:val="20"/>
          <w:szCs w:val="20"/>
          <w:color w:val="auto"/>
        </w:rPr>
      </w:pPr>
    </w:p>
    <w:p>
      <w:pPr>
        <w:ind w:right="160"/>
        <w:spacing w:after="0" w:line="296" w:lineRule="auto"/>
        <w:rPr>
          <w:sz w:val="20"/>
          <w:szCs w:val="20"/>
          <w:color w:val="auto"/>
        </w:rPr>
      </w:pPr>
      <w:r>
        <w:rPr>
          <w:rFonts w:ascii="Arial" w:cs="Arial" w:eastAsia="Arial" w:hAnsi="Arial"/>
          <w:sz w:val="16"/>
          <w:szCs w:val="16"/>
          <w:color w:val="auto"/>
        </w:rPr>
        <w:t>We sold Fiserv Costa Rica, S.A and our SIS operations in October 2022 for net cash proceeds of $34 million and our Korea operations in September 2022 for net cash proceeds of $43 million, along with a minority noncontrolling equity interest in the buyer of the Korea operations. Effective March 2022, we mutually agreed to terminate a merchant alliance joint venture with a minority partner. In conjunction with such termination, the joint venture minority partner elected to exercise its option to purchase certain additional merchant contracts of the joint venture for cash proceeds of $175 million. The net proceeds from these dispositions were primarily used to pay down indebtedness and repurchase shares of our common stock.</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940" w:type="dxa"/>
            <w:vAlign w:val="bottom"/>
            <w:gridSpan w:val="3"/>
          </w:tcPr>
          <w:p>
            <w:pPr>
              <w:spacing w:after="0"/>
              <w:rPr>
                <w:sz w:val="20"/>
                <w:szCs w:val="20"/>
                <w:color w:val="auto"/>
              </w:rPr>
            </w:pPr>
            <w:r>
              <w:rPr>
                <w:rFonts w:ascii="Arial" w:cs="Arial" w:eastAsia="Arial" w:hAnsi="Arial"/>
                <w:sz w:val="18"/>
                <w:szCs w:val="18"/>
                <w:i w:val="1"/>
                <w:iCs w:val="1"/>
                <w:color w:val="auto"/>
              </w:rPr>
              <w:t>Indebtedness</w:t>
            </w:r>
          </w:p>
        </w:tc>
        <w:tc>
          <w:tcPr>
            <w:tcW w:w="3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80" w:type="dxa"/>
            <w:vAlign w:val="bottom"/>
          </w:tcPr>
          <w:p>
            <w:pPr>
              <w:spacing w:after="0"/>
              <w:rPr>
                <w:sz w:val="20"/>
                <w:szCs w:val="20"/>
                <w:color w:val="auto"/>
              </w:rPr>
            </w:pPr>
          </w:p>
        </w:tc>
      </w:tr>
      <w:tr>
        <w:trPr>
          <w:trHeight w:val="392"/>
        </w:trPr>
        <w:tc>
          <w:tcPr>
            <w:tcW w:w="20" w:type="dxa"/>
            <w:vAlign w:val="bottom"/>
          </w:tcPr>
          <w:p>
            <w:pPr>
              <w:spacing w:after="0"/>
              <w:rPr>
                <w:sz w:val="24"/>
                <w:szCs w:val="24"/>
                <w:color w:val="auto"/>
              </w:rPr>
            </w:pPr>
          </w:p>
        </w:tc>
        <w:tc>
          <w:tcPr>
            <w:tcW w:w="6920" w:type="dxa"/>
            <w:vAlign w:val="bottom"/>
            <w:gridSpan w:val="2"/>
          </w:tcPr>
          <w:p>
            <w:pPr>
              <w:spacing w:after="0"/>
              <w:rPr>
                <w:sz w:val="20"/>
                <w:szCs w:val="20"/>
                <w:color w:val="auto"/>
              </w:rPr>
            </w:pPr>
            <w:r>
              <w:rPr>
                <w:rFonts w:ascii="Arial" w:cs="Arial" w:eastAsia="Arial" w:hAnsi="Arial"/>
                <w:sz w:val="16"/>
                <w:szCs w:val="16"/>
                <w:b w:val="1"/>
                <w:bCs w:val="1"/>
                <w:color w:val="auto"/>
              </w:rPr>
              <w:t>(In millions)</w:t>
            </w:r>
          </w:p>
        </w:tc>
        <w:tc>
          <w:tcPr>
            <w:tcW w:w="320" w:type="dxa"/>
            <w:vAlign w:val="bottom"/>
          </w:tcPr>
          <w:p>
            <w:pPr>
              <w:spacing w:after="0"/>
              <w:rPr>
                <w:sz w:val="24"/>
                <w:szCs w:val="24"/>
                <w:color w:val="auto"/>
              </w:rPr>
            </w:pPr>
          </w:p>
        </w:tc>
        <w:tc>
          <w:tcPr>
            <w:tcW w:w="1780" w:type="dxa"/>
            <w:vAlign w:val="bottom"/>
          </w:tcPr>
          <w:p>
            <w:pPr>
              <w:jc w:val="right"/>
              <w:ind w:right="430"/>
              <w:spacing w:after="0"/>
              <w:rPr>
                <w:sz w:val="20"/>
                <w:szCs w:val="20"/>
                <w:color w:val="auto"/>
              </w:rPr>
            </w:pPr>
            <w:r>
              <w:rPr>
                <w:rFonts w:ascii="Arial" w:cs="Arial" w:eastAsia="Arial" w:hAnsi="Arial"/>
                <w:sz w:val="18"/>
                <w:szCs w:val="18"/>
                <w:b w:val="1"/>
                <w:bCs w:val="1"/>
                <w:color w:val="auto"/>
              </w:rPr>
              <w:t>June 30, 2023</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80" w:type="dxa"/>
            <w:vAlign w:val="bottom"/>
          </w:tcPr>
          <w:p>
            <w:pPr>
              <w:jc w:val="right"/>
              <w:ind w:right="230"/>
              <w:spacing w:after="0"/>
              <w:rPr>
                <w:sz w:val="20"/>
                <w:szCs w:val="20"/>
                <w:color w:val="auto"/>
              </w:rPr>
            </w:pPr>
            <w:r>
              <w:rPr>
                <w:rFonts w:ascii="Arial" w:cs="Arial" w:eastAsia="Arial" w:hAnsi="Arial"/>
                <w:sz w:val="18"/>
                <w:szCs w:val="18"/>
                <w:b w:val="1"/>
                <w:bCs w:val="1"/>
                <w:color w:val="auto"/>
                <w:w w:val="94"/>
              </w:rPr>
              <w:t>December 31, 2022</w:t>
            </w:r>
          </w:p>
        </w:tc>
      </w:tr>
      <w:tr>
        <w:trPr>
          <w:trHeight w:val="20"/>
        </w:trPr>
        <w:tc>
          <w:tcPr>
            <w:tcW w:w="20" w:type="dxa"/>
            <w:vAlign w:val="bottom"/>
          </w:tcPr>
          <w:p>
            <w:pPr>
              <w:spacing w:after="0" w:line="20" w:lineRule="exact"/>
              <w:rPr>
                <w:sz w:val="1"/>
                <w:szCs w:val="1"/>
                <w:color w:val="auto"/>
              </w:rPr>
            </w:pPr>
          </w:p>
        </w:tc>
        <w:tc>
          <w:tcPr>
            <w:tcW w:w="860" w:type="dxa"/>
            <w:vAlign w:val="bottom"/>
            <w:tcBorders>
              <w:top w:val="single" w:sz="8" w:color="auto"/>
            </w:tcBorders>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69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Short-term and current maturities of long-term debt:</w:t>
            </w:r>
          </w:p>
        </w:tc>
        <w:tc>
          <w:tcPr>
            <w:tcW w:w="32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6920" w:type="dxa"/>
            <w:vAlign w:val="bottom"/>
            <w:gridSpan w:val="2"/>
          </w:tcPr>
          <w:p>
            <w:pPr>
              <w:ind w:left="140"/>
              <w:spacing w:after="0"/>
              <w:rPr>
                <w:sz w:val="20"/>
                <w:szCs w:val="20"/>
                <w:color w:val="auto"/>
              </w:rPr>
            </w:pPr>
            <w:r>
              <w:rPr>
                <w:rFonts w:ascii="Arial" w:cs="Arial" w:eastAsia="Arial" w:hAnsi="Arial"/>
                <w:sz w:val="18"/>
                <w:szCs w:val="18"/>
                <w:color w:val="auto"/>
              </w:rPr>
              <w:t>Foreign lines of credit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362</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880" w:type="dxa"/>
            <w:vAlign w:val="bottom"/>
          </w:tcPr>
          <w:p>
            <w:pPr>
              <w:jc w:val="right"/>
              <w:spacing w:after="0"/>
              <w:rPr>
                <w:sz w:val="20"/>
                <w:szCs w:val="20"/>
                <w:color w:val="auto"/>
              </w:rPr>
            </w:pPr>
            <w:r>
              <w:rPr>
                <w:rFonts w:ascii="Arial" w:cs="Arial" w:eastAsia="Arial" w:hAnsi="Arial"/>
                <w:sz w:val="18"/>
                <w:szCs w:val="18"/>
                <w:color w:val="auto"/>
              </w:rPr>
              <w:t>198</w:t>
            </w:r>
          </w:p>
        </w:tc>
      </w:tr>
      <w:tr>
        <w:trPr>
          <w:trHeight w:val="243"/>
        </w:trPr>
        <w:tc>
          <w:tcPr>
            <w:tcW w:w="20" w:type="dxa"/>
            <w:vAlign w:val="bottom"/>
            <w:shd w:val="clear" w:color="auto" w:fill="CCEEFF"/>
          </w:tcPr>
          <w:p>
            <w:pPr>
              <w:spacing w:after="0"/>
              <w:rPr>
                <w:sz w:val="21"/>
                <w:szCs w:val="21"/>
                <w:color w:val="auto"/>
              </w:rPr>
            </w:pPr>
          </w:p>
        </w:tc>
        <w:tc>
          <w:tcPr>
            <w:tcW w:w="69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Finance lease and other financing obligations</w:t>
            </w:r>
          </w:p>
        </w:tc>
        <w:tc>
          <w:tcPr>
            <w:tcW w:w="320" w:type="dxa"/>
            <w:vAlign w:val="bottom"/>
            <w:tcBorders>
              <w:bottom w:val="single" w:sz="8" w:color="auto"/>
            </w:tcBorders>
            <w:shd w:val="clear" w:color="auto" w:fill="CCEEFF"/>
          </w:tcPr>
          <w:p>
            <w:pPr>
              <w:spacing w:after="0"/>
              <w:rPr>
                <w:sz w:val="21"/>
                <w:szCs w:val="21"/>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w:t>
            </w:r>
          </w:p>
        </w:tc>
      </w:tr>
      <w:tr>
        <w:trPr>
          <w:trHeight w:val="223"/>
        </w:trPr>
        <w:tc>
          <w:tcPr>
            <w:tcW w:w="20" w:type="dxa"/>
            <w:vAlign w:val="bottom"/>
          </w:tcPr>
          <w:p>
            <w:pPr>
              <w:spacing w:after="0"/>
              <w:rPr>
                <w:sz w:val="19"/>
                <w:szCs w:val="19"/>
                <w:color w:val="auto"/>
              </w:rPr>
            </w:pPr>
          </w:p>
        </w:tc>
        <w:tc>
          <w:tcPr>
            <w:tcW w:w="6920" w:type="dxa"/>
            <w:vAlign w:val="bottom"/>
            <w:gridSpan w:val="2"/>
          </w:tcPr>
          <w:p>
            <w:pPr>
              <w:ind w:left="320"/>
              <w:spacing w:after="0"/>
              <w:rPr>
                <w:sz w:val="20"/>
                <w:szCs w:val="20"/>
                <w:color w:val="auto"/>
              </w:rPr>
            </w:pPr>
            <w:r>
              <w:rPr>
                <w:rFonts w:ascii="Arial" w:cs="Arial" w:eastAsia="Arial" w:hAnsi="Arial"/>
                <w:sz w:val="18"/>
                <w:szCs w:val="18"/>
                <w:color w:val="auto"/>
              </w:rPr>
              <w:t>Total short-term and current maturities of long-term debt</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608</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468</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60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60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80" w:type="dxa"/>
            <w:vAlign w:val="bottom"/>
            <w:shd w:val="clear" w:color="auto" w:fill="CCEEFF"/>
          </w:tcPr>
          <w:p>
            <w:pPr>
              <w:spacing w:after="0"/>
              <w:rPr>
                <w:sz w:val="20"/>
                <w:szCs w:val="20"/>
                <w:color w:val="auto"/>
              </w:rPr>
            </w:pPr>
          </w:p>
        </w:tc>
      </w:tr>
      <w:tr>
        <w:trPr>
          <w:trHeight w:val="229"/>
        </w:trPr>
        <w:tc>
          <w:tcPr>
            <w:tcW w:w="20" w:type="dxa"/>
            <w:vAlign w:val="bottom"/>
          </w:tcPr>
          <w:p>
            <w:pPr>
              <w:spacing w:after="0"/>
              <w:rPr>
                <w:sz w:val="19"/>
                <w:szCs w:val="19"/>
                <w:color w:val="auto"/>
              </w:rPr>
            </w:pPr>
          </w:p>
        </w:tc>
        <w:tc>
          <w:tcPr>
            <w:tcW w:w="6920" w:type="dxa"/>
            <w:vAlign w:val="bottom"/>
            <w:gridSpan w:val="2"/>
          </w:tcPr>
          <w:p>
            <w:pPr>
              <w:spacing w:after="0"/>
              <w:rPr>
                <w:sz w:val="20"/>
                <w:szCs w:val="20"/>
                <w:color w:val="auto"/>
              </w:rPr>
            </w:pPr>
            <w:r>
              <w:rPr>
                <w:rFonts w:ascii="Arial" w:cs="Arial" w:eastAsia="Arial" w:hAnsi="Arial"/>
                <w:sz w:val="18"/>
                <w:szCs w:val="18"/>
                <w:b w:val="1"/>
                <w:bCs w:val="1"/>
                <w:color w:val="auto"/>
              </w:rPr>
              <w:t>Long-term debt:</w:t>
            </w:r>
          </w:p>
        </w:tc>
        <w:tc>
          <w:tcPr>
            <w:tcW w:w="3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243"/>
        </w:trPr>
        <w:tc>
          <w:tcPr>
            <w:tcW w:w="20" w:type="dxa"/>
            <w:vAlign w:val="bottom"/>
            <w:shd w:val="clear" w:color="auto" w:fill="CCEEFF"/>
          </w:tcPr>
          <w:p>
            <w:pPr>
              <w:spacing w:after="0"/>
              <w:rPr>
                <w:sz w:val="21"/>
                <w:szCs w:val="21"/>
                <w:color w:val="auto"/>
              </w:rPr>
            </w:pPr>
          </w:p>
        </w:tc>
        <w:tc>
          <w:tcPr>
            <w:tcW w:w="69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0.375% senior notes due July 2023 (Euro-denominated)</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w:t>
            </w:r>
          </w:p>
        </w:tc>
        <w:tc>
          <w:tcPr>
            <w:tcW w:w="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w:t>
            </w:r>
          </w:p>
        </w:tc>
      </w:tr>
      <w:tr>
        <w:trPr>
          <w:trHeight w:val="229"/>
        </w:trPr>
        <w:tc>
          <w:tcPr>
            <w:tcW w:w="20" w:type="dxa"/>
            <w:vAlign w:val="bottom"/>
          </w:tcPr>
          <w:p>
            <w:pPr>
              <w:spacing w:after="0"/>
              <w:rPr>
                <w:sz w:val="19"/>
                <w:szCs w:val="19"/>
                <w:color w:val="auto"/>
              </w:rPr>
            </w:pPr>
          </w:p>
        </w:tc>
        <w:tc>
          <w:tcPr>
            <w:tcW w:w="6920" w:type="dxa"/>
            <w:vAlign w:val="bottom"/>
            <w:gridSpan w:val="2"/>
          </w:tcPr>
          <w:p>
            <w:pPr>
              <w:ind w:left="140"/>
              <w:spacing w:after="0"/>
              <w:rPr>
                <w:sz w:val="20"/>
                <w:szCs w:val="20"/>
                <w:color w:val="auto"/>
              </w:rPr>
            </w:pPr>
            <w:r>
              <w:rPr>
                <w:rFonts w:ascii="Arial" w:cs="Arial" w:eastAsia="Arial" w:hAnsi="Arial"/>
                <w:sz w:val="18"/>
                <w:szCs w:val="18"/>
                <w:color w:val="auto"/>
              </w:rPr>
              <w:t>3.800% senior notes due October 2023</w:t>
            </w:r>
          </w:p>
        </w:tc>
        <w:tc>
          <w:tcPr>
            <w:tcW w:w="3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1,000</w:t>
            </w:r>
          </w:p>
        </w:tc>
      </w:tr>
      <w:tr>
        <w:trPr>
          <w:trHeight w:val="229"/>
        </w:trPr>
        <w:tc>
          <w:tcPr>
            <w:tcW w:w="20" w:type="dxa"/>
            <w:vAlign w:val="bottom"/>
            <w:shd w:val="clear" w:color="auto" w:fill="CCEEFF"/>
          </w:tcPr>
          <w:p>
            <w:pPr>
              <w:spacing w:after="0"/>
              <w:rPr>
                <w:sz w:val="19"/>
                <w:szCs w:val="19"/>
                <w:color w:val="auto"/>
              </w:rPr>
            </w:pPr>
          </w:p>
        </w:tc>
        <w:tc>
          <w:tcPr>
            <w:tcW w:w="69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2.750% senior notes due July 2024</w:t>
            </w:r>
          </w:p>
        </w:tc>
        <w:tc>
          <w:tcPr>
            <w:tcW w:w="3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r>
      <w:tr>
        <w:trPr>
          <w:trHeight w:val="237"/>
        </w:trPr>
        <w:tc>
          <w:tcPr>
            <w:tcW w:w="20" w:type="dxa"/>
            <w:vAlign w:val="bottom"/>
          </w:tcPr>
          <w:p>
            <w:pPr>
              <w:spacing w:after="0"/>
              <w:rPr>
                <w:sz w:val="20"/>
                <w:szCs w:val="20"/>
                <w:color w:val="auto"/>
              </w:rPr>
            </w:pPr>
          </w:p>
        </w:tc>
        <w:tc>
          <w:tcPr>
            <w:tcW w:w="6920" w:type="dxa"/>
            <w:vAlign w:val="bottom"/>
            <w:gridSpan w:val="2"/>
          </w:tcPr>
          <w:p>
            <w:pPr>
              <w:ind w:left="140"/>
              <w:spacing w:after="0"/>
              <w:rPr>
                <w:sz w:val="20"/>
                <w:szCs w:val="20"/>
                <w:color w:val="auto"/>
              </w:rPr>
            </w:pPr>
            <w:r>
              <w:rPr>
                <w:rFonts w:ascii="Arial" w:cs="Arial" w:eastAsia="Arial" w:hAnsi="Arial"/>
                <w:sz w:val="18"/>
                <w:szCs w:val="18"/>
                <w:color w:val="auto"/>
              </w:rPr>
              <w:t>3.850% senior notes due June 2025</w:t>
            </w:r>
          </w:p>
        </w:tc>
        <w:tc>
          <w:tcPr>
            <w:tcW w:w="32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900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900</w:t>
            </w:r>
          </w:p>
        </w:tc>
      </w:tr>
      <w:tr>
        <w:trPr>
          <w:trHeight w:val="236"/>
        </w:trPr>
        <w:tc>
          <w:tcPr>
            <w:tcW w:w="20" w:type="dxa"/>
            <w:vAlign w:val="bottom"/>
            <w:shd w:val="clear" w:color="auto" w:fill="CCEEFF"/>
          </w:tcPr>
          <w:p>
            <w:pPr>
              <w:spacing w:after="0"/>
              <w:rPr>
                <w:sz w:val="20"/>
                <w:szCs w:val="20"/>
                <w:color w:val="auto"/>
              </w:rPr>
            </w:pPr>
          </w:p>
        </w:tc>
        <w:tc>
          <w:tcPr>
            <w:tcW w:w="69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2.250% senior notes due July 2025 (British Pound-denominated)</w:t>
            </w:r>
          </w:p>
        </w:tc>
        <w:tc>
          <w:tcPr>
            <w:tcW w:w="320" w:type="dxa"/>
            <w:vAlign w:val="bottom"/>
            <w:shd w:val="clear" w:color="auto" w:fill="CCEEFF"/>
          </w:tcPr>
          <w:p>
            <w:pPr>
              <w:spacing w:after="0"/>
              <w:rPr>
                <w:sz w:val="20"/>
                <w:szCs w:val="20"/>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w:t>
            </w:r>
          </w:p>
        </w:tc>
      </w:tr>
      <w:tr>
        <w:trPr>
          <w:trHeight w:val="230"/>
        </w:trPr>
        <w:tc>
          <w:tcPr>
            <w:tcW w:w="20" w:type="dxa"/>
            <w:vAlign w:val="bottom"/>
          </w:tcPr>
          <w:p>
            <w:pPr>
              <w:spacing w:after="0"/>
              <w:rPr>
                <w:sz w:val="19"/>
                <w:szCs w:val="19"/>
                <w:color w:val="auto"/>
              </w:rPr>
            </w:pPr>
          </w:p>
        </w:tc>
        <w:tc>
          <w:tcPr>
            <w:tcW w:w="6920" w:type="dxa"/>
            <w:vAlign w:val="bottom"/>
            <w:gridSpan w:val="2"/>
          </w:tcPr>
          <w:p>
            <w:pPr>
              <w:ind w:left="140"/>
              <w:spacing w:after="0"/>
              <w:rPr>
                <w:sz w:val="20"/>
                <w:szCs w:val="20"/>
                <w:color w:val="auto"/>
              </w:rPr>
            </w:pPr>
            <w:r>
              <w:rPr>
                <w:rFonts w:ascii="Arial" w:cs="Arial" w:eastAsia="Arial" w:hAnsi="Arial"/>
                <w:sz w:val="18"/>
                <w:szCs w:val="18"/>
                <w:color w:val="auto"/>
              </w:rPr>
              <w:t>3.200% senior notes due July 2026</w:t>
            </w:r>
          </w:p>
        </w:tc>
        <w:tc>
          <w:tcPr>
            <w:tcW w:w="3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2,000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2,000</w:t>
            </w:r>
          </w:p>
        </w:tc>
      </w:tr>
      <w:tr>
        <w:trPr>
          <w:trHeight w:val="243"/>
        </w:trPr>
        <w:tc>
          <w:tcPr>
            <w:tcW w:w="20" w:type="dxa"/>
            <w:vAlign w:val="bottom"/>
            <w:shd w:val="clear" w:color="auto" w:fill="CCEEFF"/>
          </w:tcPr>
          <w:p>
            <w:pPr>
              <w:spacing w:after="0"/>
              <w:rPr>
                <w:sz w:val="21"/>
                <w:szCs w:val="21"/>
                <w:color w:val="auto"/>
              </w:rPr>
            </w:pPr>
          </w:p>
        </w:tc>
        <w:tc>
          <w:tcPr>
            <w:tcW w:w="69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2.250% senior notes due June 2027</w:t>
            </w:r>
          </w:p>
        </w:tc>
        <w:tc>
          <w:tcPr>
            <w:tcW w:w="320" w:type="dxa"/>
            <w:vAlign w:val="bottom"/>
            <w:shd w:val="clear" w:color="auto" w:fill="CCEEFF"/>
          </w:tcPr>
          <w:p>
            <w:pPr>
              <w:spacing w:after="0"/>
              <w:rPr>
                <w:sz w:val="21"/>
                <w:szCs w:val="21"/>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30"/>
        </w:trPr>
        <w:tc>
          <w:tcPr>
            <w:tcW w:w="20" w:type="dxa"/>
            <w:vAlign w:val="bottom"/>
          </w:tcPr>
          <w:p>
            <w:pPr>
              <w:spacing w:after="0"/>
              <w:rPr>
                <w:sz w:val="19"/>
                <w:szCs w:val="19"/>
                <w:color w:val="auto"/>
              </w:rPr>
            </w:pPr>
          </w:p>
        </w:tc>
        <w:tc>
          <w:tcPr>
            <w:tcW w:w="6920" w:type="dxa"/>
            <w:vAlign w:val="bottom"/>
            <w:gridSpan w:val="2"/>
          </w:tcPr>
          <w:p>
            <w:pPr>
              <w:ind w:left="140"/>
              <w:spacing w:after="0"/>
              <w:rPr>
                <w:sz w:val="20"/>
                <w:szCs w:val="20"/>
                <w:color w:val="auto"/>
              </w:rPr>
            </w:pPr>
            <w:r>
              <w:rPr>
                <w:rFonts w:ascii="Arial" w:cs="Arial" w:eastAsia="Arial" w:hAnsi="Arial"/>
                <w:sz w:val="18"/>
                <w:szCs w:val="18"/>
                <w:color w:val="auto"/>
              </w:rPr>
              <w:t>1.125% senior notes due July 2027 (Euro-denominated)</w:t>
            </w:r>
          </w:p>
        </w:tc>
        <w:tc>
          <w:tcPr>
            <w:tcW w:w="3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546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531</w:t>
            </w:r>
          </w:p>
        </w:tc>
      </w:tr>
      <w:tr>
        <w:trPr>
          <w:trHeight w:val="229"/>
        </w:trPr>
        <w:tc>
          <w:tcPr>
            <w:tcW w:w="20" w:type="dxa"/>
            <w:vAlign w:val="bottom"/>
            <w:shd w:val="clear" w:color="auto" w:fill="CCEEFF"/>
          </w:tcPr>
          <w:p>
            <w:pPr>
              <w:spacing w:after="0"/>
              <w:rPr>
                <w:sz w:val="19"/>
                <w:szCs w:val="19"/>
                <w:color w:val="auto"/>
              </w:rPr>
            </w:pPr>
          </w:p>
        </w:tc>
        <w:tc>
          <w:tcPr>
            <w:tcW w:w="69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5.450% senior notes due March 2028</w:t>
            </w:r>
          </w:p>
        </w:tc>
        <w:tc>
          <w:tcPr>
            <w:tcW w:w="3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20" w:type="dxa"/>
            <w:vAlign w:val="bottom"/>
          </w:tcPr>
          <w:p>
            <w:pPr>
              <w:spacing w:after="0"/>
              <w:rPr>
                <w:sz w:val="20"/>
                <w:szCs w:val="20"/>
                <w:color w:val="auto"/>
              </w:rPr>
            </w:pPr>
          </w:p>
        </w:tc>
        <w:tc>
          <w:tcPr>
            <w:tcW w:w="6920" w:type="dxa"/>
            <w:vAlign w:val="bottom"/>
            <w:gridSpan w:val="2"/>
          </w:tcPr>
          <w:p>
            <w:pPr>
              <w:ind w:left="140"/>
              <w:spacing w:after="0"/>
              <w:rPr>
                <w:sz w:val="20"/>
                <w:szCs w:val="20"/>
                <w:color w:val="auto"/>
              </w:rPr>
            </w:pPr>
            <w:r>
              <w:rPr>
                <w:rFonts w:ascii="Arial" w:cs="Arial" w:eastAsia="Arial" w:hAnsi="Arial"/>
                <w:sz w:val="18"/>
                <w:szCs w:val="18"/>
                <w:color w:val="auto"/>
              </w:rPr>
              <w:t>4.200% senior notes due October 2028</w:t>
            </w:r>
          </w:p>
        </w:tc>
        <w:tc>
          <w:tcPr>
            <w:tcW w:w="32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1,000</w:t>
            </w:r>
          </w:p>
        </w:tc>
      </w:tr>
      <w:tr>
        <w:trPr>
          <w:trHeight w:val="236"/>
        </w:trPr>
        <w:tc>
          <w:tcPr>
            <w:tcW w:w="20" w:type="dxa"/>
            <w:vAlign w:val="bottom"/>
            <w:shd w:val="clear" w:color="auto" w:fill="CCEEFF"/>
          </w:tcPr>
          <w:p>
            <w:pPr>
              <w:spacing w:after="0"/>
              <w:rPr>
                <w:sz w:val="20"/>
                <w:szCs w:val="20"/>
                <w:color w:val="auto"/>
              </w:rPr>
            </w:pPr>
          </w:p>
        </w:tc>
        <w:tc>
          <w:tcPr>
            <w:tcW w:w="69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3.500% senior notes due July 2029</w:t>
            </w:r>
          </w:p>
        </w:tc>
        <w:tc>
          <w:tcPr>
            <w:tcW w:w="320" w:type="dxa"/>
            <w:vAlign w:val="bottom"/>
            <w:shd w:val="clear" w:color="auto" w:fill="CCEEFF"/>
          </w:tcPr>
          <w:p>
            <w:pPr>
              <w:spacing w:after="0"/>
              <w:rPr>
                <w:sz w:val="20"/>
                <w:szCs w:val="20"/>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w:t>
            </w:r>
          </w:p>
        </w:tc>
      </w:tr>
      <w:tr>
        <w:trPr>
          <w:trHeight w:val="230"/>
        </w:trPr>
        <w:tc>
          <w:tcPr>
            <w:tcW w:w="20" w:type="dxa"/>
            <w:vAlign w:val="bottom"/>
          </w:tcPr>
          <w:p>
            <w:pPr>
              <w:spacing w:after="0"/>
              <w:rPr>
                <w:sz w:val="19"/>
                <w:szCs w:val="19"/>
                <w:color w:val="auto"/>
              </w:rPr>
            </w:pPr>
          </w:p>
        </w:tc>
        <w:tc>
          <w:tcPr>
            <w:tcW w:w="6920" w:type="dxa"/>
            <w:vAlign w:val="bottom"/>
            <w:gridSpan w:val="2"/>
          </w:tcPr>
          <w:p>
            <w:pPr>
              <w:ind w:left="140"/>
              <w:spacing w:after="0"/>
              <w:rPr>
                <w:sz w:val="20"/>
                <w:szCs w:val="20"/>
                <w:color w:val="auto"/>
              </w:rPr>
            </w:pPr>
            <w:r>
              <w:rPr>
                <w:rFonts w:ascii="Arial" w:cs="Arial" w:eastAsia="Arial" w:hAnsi="Arial"/>
                <w:sz w:val="18"/>
                <w:szCs w:val="18"/>
                <w:color w:val="auto"/>
              </w:rPr>
              <w:t>2.650% senior notes due June 2030</w:t>
            </w:r>
          </w:p>
        </w:tc>
        <w:tc>
          <w:tcPr>
            <w:tcW w:w="3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1,000</w:t>
            </w:r>
          </w:p>
        </w:tc>
      </w:tr>
      <w:tr>
        <w:trPr>
          <w:trHeight w:val="243"/>
        </w:trPr>
        <w:tc>
          <w:tcPr>
            <w:tcW w:w="20" w:type="dxa"/>
            <w:vAlign w:val="bottom"/>
            <w:shd w:val="clear" w:color="auto" w:fill="CCEEFF"/>
          </w:tcPr>
          <w:p>
            <w:pPr>
              <w:spacing w:after="0"/>
              <w:rPr>
                <w:sz w:val="21"/>
                <w:szCs w:val="21"/>
                <w:color w:val="auto"/>
              </w:rPr>
            </w:pPr>
          </w:p>
        </w:tc>
        <w:tc>
          <w:tcPr>
            <w:tcW w:w="69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1.625% senior notes due July 2030 (Euro-denominated)</w:t>
            </w:r>
          </w:p>
        </w:tc>
        <w:tc>
          <w:tcPr>
            <w:tcW w:w="320" w:type="dxa"/>
            <w:vAlign w:val="bottom"/>
            <w:shd w:val="clear" w:color="auto" w:fill="CCEEFF"/>
          </w:tcPr>
          <w:p>
            <w:pPr>
              <w:spacing w:after="0"/>
              <w:rPr>
                <w:sz w:val="21"/>
                <w:szCs w:val="21"/>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w:t>
            </w:r>
          </w:p>
        </w:tc>
      </w:tr>
      <w:tr>
        <w:trPr>
          <w:trHeight w:val="230"/>
        </w:trPr>
        <w:tc>
          <w:tcPr>
            <w:tcW w:w="20" w:type="dxa"/>
            <w:vAlign w:val="bottom"/>
          </w:tcPr>
          <w:p>
            <w:pPr>
              <w:spacing w:after="0"/>
              <w:rPr>
                <w:sz w:val="19"/>
                <w:szCs w:val="19"/>
                <w:color w:val="auto"/>
              </w:rPr>
            </w:pPr>
          </w:p>
        </w:tc>
        <w:tc>
          <w:tcPr>
            <w:tcW w:w="6920" w:type="dxa"/>
            <w:vAlign w:val="bottom"/>
            <w:gridSpan w:val="2"/>
          </w:tcPr>
          <w:p>
            <w:pPr>
              <w:ind w:left="120"/>
              <w:spacing w:after="0"/>
              <w:rPr>
                <w:sz w:val="20"/>
                <w:szCs w:val="20"/>
                <w:color w:val="auto"/>
              </w:rPr>
            </w:pPr>
            <w:r>
              <w:rPr>
                <w:rFonts w:ascii="Arial" w:cs="Arial" w:eastAsia="Arial" w:hAnsi="Arial"/>
                <w:sz w:val="18"/>
                <w:szCs w:val="18"/>
                <w:color w:val="auto"/>
              </w:rPr>
              <w:t>4.500% senior notes due May 2031 (Euro-denominated)</w:t>
            </w:r>
          </w:p>
        </w:tc>
        <w:tc>
          <w:tcPr>
            <w:tcW w:w="3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873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shd w:val="clear" w:color="auto" w:fill="CCEEFF"/>
          </w:tcPr>
          <w:p>
            <w:pPr>
              <w:spacing w:after="0"/>
              <w:rPr>
                <w:sz w:val="19"/>
                <w:szCs w:val="19"/>
                <w:color w:val="auto"/>
              </w:rPr>
            </w:pPr>
          </w:p>
        </w:tc>
        <w:tc>
          <w:tcPr>
            <w:tcW w:w="69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3.000% senior notes due July 2031 (British Pound-denominated)</w:t>
            </w:r>
          </w:p>
        </w:tc>
        <w:tc>
          <w:tcPr>
            <w:tcW w:w="3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w:t>
            </w:r>
          </w:p>
        </w:tc>
      </w:tr>
      <w:tr>
        <w:trPr>
          <w:trHeight w:val="237"/>
        </w:trPr>
        <w:tc>
          <w:tcPr>
            <w:tcW w:w="20" w:type="dxa"/>
            <w:vAlign w:val="bottom"/>
          </w:tcPr>
          <w:p>
            <w:pPr>
              <w:spacing w:after="0"/>
              <w:rPr>
                <w:sz w:val="20"/>
                <w:szCs w:val="20"/>
                <w:color w:val="auto"/>
              </w:rPr>
            </w:pPr>
          </w:p>
        </w:tc>
        <w:tc>
          <w:tcPr>
            <w:tcW w:w="6920" w:type="dxa"/>
            <w:vAlign w:val="bottom"/>
            <w:gridSpan w:val="2"/>
          </w:tcPr>
          <w:p>
            <w:pPr>
              <w:ind w:left="140"/>
              <w:spacing w:after="0"/>
              <w:rPr>
                <w:sz w:val="20"/>
                <w:szCs w:val="20"/>
                <w:color w:val="auto"/>
              </w:rPr>
            </w:pPr>
            <w:r>
              <w:rPr>
                <w:rFonts w:ascii="Arial" w:cs="Arial" w:eastAsia="Arial" w:hAnsi="Arial"/>
                <w:sz w:val="18"/>
                <w:szCs w:val="18"/>
                <w:color w:val="auto"/>
              </w:rPr>
              <w:t>5.600% senior notes due March 2033</w:t>
            </w:r>
          </w:p>
        </w:tc>
        <w:tc>
          <w:tcPr>
            <w:tcW w:w="32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900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6"/>
        </w:trPr>
        <w:tc>
          <w:tcPr>
            <w:tcW w:w="20" w:type="dxa"/>
            <w:vAlign w:val="bottom"/>
            <w:shd w:val="clear" w:color="auto" w:fill="CCEEFF"/>
          </w:tcPr>
          <w:p>
            <w:pPr>
              <w:spacing w:after="0"/>
              <w:rPr>
                <w:sz w:val="20"/>
                <w:szCs w:val="20"/>
                <w:color w:val="auto"/>
              </w:rPr>
            </w:pPr>
          </w:p>
        </w:tc>
        <w:tc>
          <w:tcPr>
            <w:tcW w:w="69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4.400% senior notes due July 2049</w:t>
            </w:r>
          </w:p>
        </w:tc>
        <w:tc>
          <w:tcPr>
            <w:tcW w:w="320" w:type="dxa"/>
            <w:vAlign w:val="bottom"/>
            <w:shd w:val="clear" w:color="auto" w:fill="CCEEFF"/>
          </w:tcPr>
          <w:p>
            <w:pPr>
              <w:spacing w:after="0"/>
              <w:rPr>
                <w:sz w:val="20"/>
                <w:szCs w:val="20"/>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r>
      <w:tr>
        <w:trPr>
          <w:trHeight w:val="230"/>
        </w:trPr>
        <w:tc>
          <w:tcPr>
            <w:tcW w:w="20" w:type="dxa"/>
            <w:vAlign w:val="bottom"/>
          </w:tcPr>
          <w:p>
            <w:pPr>
              <w:spacing w:after="0"/>
              <w:rPr>
                <w:sz w:val="19"/>
                <w:szCs w:val="19"/>
                <w:color w:val="auto"/>
              </w:rPr>
            </w:pPr>
          </w:p>
        </w:tc>
        <w:tc>
          <w:tcPr>
            <w:tcW w:w="6920" w:type="dxa"/>
            <w:vAlign w:val="bottom"/>
            <w:gridSpan w:val="2"/>
          </w:tcPr>
          <w:p>
            <w:pPr>
              <w:ind w:left="140"/>
              <w:spacing w:after="0"/>
              <w:rPr>
                <w:sz w:val="20"/>
                <w:szCs w:val="20"/>
                <w:color w:val="auto"/>
              </w:rPr>
            </w:pPr>
            <w:r>
              <w:rPr>
                <w:rFonts w:ascii="Arial" w:cs="Arial" w:eastAsia="Arial" w:hAnsi="Arial"/>
                <w:sz w:val="18"/>
                <w:szCs w:val="18"/>
                <w:color w:val="auto"/>
              </w:rPr>
              <w:t>U.S. dollar commercial paper notes</w:t>
            </w:r>
          </w:p>
        </w:tc>
        <w:tc>
          <w:tcPr>
            <w:tcW w:w="3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1,292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2,329</w:t>
            </w:r>
          </w:p>
        </w:tc>
      </w:tr>
      <w:tr>
        <w:trPr>
          <w:trHeight w:val="243"/>
        </w:trPr>
        <w:tc>
          <w:tcPr>
            <w:tcW w:w="20" w:type="dxa"/>
            <w:vAlign w:val="bottom"/>
            <w:shd w:val="clear" w:color="auto" w:fill="CCEEFF"/>
          </w:tcPr>
          <w:p>
            <w:pPr>
              <w:spacing w:after="0"/>
              <w:rPr>
                <w:sz w:val="21"/>
                <w:szCs w:val="21"/>
                <w:color w:val="auto"/>
              </w:rPr>
            </w:pPr>
          </w:p>
        </w:tc>
        <w:tc>
          <w:tcPr>
            <w:tcW w:w="69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Euro commercial paper notes</w:t>
            </w:r>
          </w:p>
        </w:tc>
        <w:tc>
          <w:tcPr>
            <w:tcW w:w="320" w:type="dxa"/>
            <w:vAlign w:val="bottom"/>
            <w:shd w:val="clear" w:color="auto" w:fill="CCEEFF"/>
          </w:tcPr>
          <w:p>
            <w:pPr>
              <w:spacing w:after="0"/>
              <w:rPr>
                <w:sz w:val="21"/>
                <w:szCs w:val="21"/>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1,285</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1,210</w:t>
            </w:r>
          </w:p>
        </w:tc>
      </w:tr>
      <w:tr>
        <w:trPr>
          <w:trHeight w:val="230"/>
        </w:trPr>
        <w:tc>
          <w:tcPr>
            <w:tcW w:w="20" w:type="dxa"/>
            <w:vAlign w:val="bottom"/>
          </w:tcPr>
          <w:p>
            <w:pPr>
              <w:spacing w:after="0"/>
              <w:rPr>
                <w:sz w:val="19"/>
                <w:szCs w:val="19"/>
                <w:color w:val="auto"/>
              </w:rPr>
            </w:pPr>
          </w:p>
        </w:tc>
        <w:tc>
          <w:tcPr>
            <w:tcW w:w="6920" w:type="dxa"/>
            <w:vAlign w:val="bottom"/>
            <w:gridSpan w:val="2"/>
          </w:tcPr>
          <w:p>
            <w:pPr>
              <w:ind w:left="140"/>
              <w:spacing w:after="0"/>
              <w:rPr>
                <w:sz w:val="20"/>
                <w:szCs w:val="20"/>
                <w:color w:val="auto"/>
              </w:rPr>
            </w:pPr>
            <w:r>
              <w:rPr>
                <w:rFonts w:ascii="Arial" w:cs="Arial" w:eastAsia="Arial" w:hAnsi="Arial"/>
                <w:sz w:val="18"/>
                <w:szCs w:val="18"/>
                <w:color w:val="auto"/>
              </w:rPr>
              <w:t>Revolving credit facility</w:t>
            </w:r>
          </w:p>
        </w:tc>
        <w:tc>
          <w:tcPr>
            <w:tcW w:w="3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29"/>
        </w:trPr>
        <w:tc>
          <w:tcPr>
            <w:tcW w:w="20" w:type="dxa"/>
            <w:vAlign w:val="bottom"/>
            <w:shd w:val="clear" w:color="auto" w:fill="CCEEFF"/>
          </w:tcPr>
          <w:p>
            <w:pPr>
              <w:spacing w:after="0"/>
              <w:rPr>
                <w:sz w:val="19"/>
                <w:szCs w:val="19"/>
                <w:color w:val="auto"/>
              </w:rPr>
            </w:pPr>
          </w:p>
        </w:tc>
        <w:tc>
          <w:tcPr>
            <w:tcW w:w="69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Term loan facility</w:t>
            </w:r>
          </w:p>
        </w:tc>
        <w:tc>
          <w:tcPr>
            <w:tcW w:w="3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r>
      <w:tr>
        <w:trPr>
          <w:trHeight w:val="237"/>
        </w:trPr>
        <w:tc>
          <w:tcPr>
            <w:tcW w:w="20" w:type="dxa"/>
            <w:vAlign w:val="bottom"/>
          </w:tcPr>
          <w:p>
            <w:pPr>
              <w:spacing w:after="0"/>
              <w:rPr>
                <w:sz w:val="20"/>
                <w:szCs w:val="20"/>
                <w:color w:val="auto"/>
              </w:rPr>
            </w:pPr>
          </w:p>
        </w:tc>
        <w:tc>
          <w:tcPr>
            <w:tcW w:w="6920" w:type="dxa"/>
            <w:vAlign w:val="bottom"/>
            <w:gridSpan w:val="2"/>
          </w:tcPr>
          <w:p>
            <w:pPr>
              <w:ind w:left="140"/>
              <w:spacing w:after="0"/>
              <w:rPr>
                <w:sz w:val="20"/>
                <w:szCs w:val="20"/>
                <w:color w:val="auto"/>
              </w:rPr>
            </w:pPr>
            <w:r>
              <w:rPr>
                <w:rFonts w:ascii="Arial" w:cs="Arial" w:eastAsia="Arial" w:hAnsi="Arial"/>
                <w:sz w:val="18"/>
                <w:szCs w:val="18"/>
                <w:color w:val="auto"/>
              </w:rPr>
              <w:t>Unamortized discount and deferred financing costs</w:t>
            </w:r>
          </w:p>
        </w:tc>
        <w:tc>
          <w:tcPr>
            <w:tcW w:w="32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(120)</w:t>
            </w:r>
          </w:p>
        </w:tc>
      </w:tr>
      <w:tr>
        <w:trPr>
          <w:trHeight w:val="236"/>
        </w:trPr>
        <w:tc>
          <w:tcPr>
            <w:tcW w:w="20" w:type="dxa"/>
            <w:vAlign w:val="bottom"/>
            <w:tcBorders>
              <w:bottom w:val="single" w:sz="8" w:color="CCEEFF"/>
            </w:tcBorders>
            <w:shd w:val="clear" w:color="auto" w:fill="CCEEFF"/>
          </w:tcPr>
          <w:p>
            <w:pPr>
              <w:spacing w:after="0"/>
              <w:rPr>
                <w:sz w:val="20"/>
                <w:szCs w:val="20"/>
                <w:color w:val="auto"/>
              </w:rPr>
            </w:pPr>
          </w:p>
        </w:tc>
        <w:tc>
          <w:tcPr>
            <w:tcW w:w="69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Finance lease and other financing obligations</w:t>
            </w:r>
          </w:p>
        </w:tc>
        <w:tc>
          <w:tcPr>
            <w:tcW w:w="320" w:type="dxa"/>
            <w:vAlign w:val="bottom"/>
            <w:tcBorders>
              <w:bottom w:val="single" w:sz="8" w:color="auto"/>
            </w:tcBorders>
            <w:shd w:val="clear" w:color="auto" w:fill="CCEEFF"/>
          </w:tcPr>
          <w:p>
            <w:pPr>
              <w:spacing w:after="0"/>
              <w:rPr>
                <w:sz w:val="20"/>
                <w:szCs w:val="20"/>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576</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539</w:t>
            </w:r>
          </w:p>
        </w:tc>
      </w:tr>
      <w:tr>
        <w:trPr>
          <w:trHeight w:val="223"/>
        </w:trPr>
        <w:tc>
          <w:tcPr>
            <w:tcW w:w="20" w:type="dxa"/>
            <w:vAlign w:val="bottom"/>
          </w:tcPr>
          <w:p>
            <w:pPr>
              <w:spacing w:after="0"/>
              <w:rPr>
                <w:sz w:val="19"/>
                <w:szCs w:val="19"/>
                <w:color w:val="auto"/>
              </w:rPr>
            </w:pPr>
          </w:p>
        </w:tc>
        <w:tc>
          <w:tcPr>
            <w:tcW w:w="6920" w:type="dxa"/>
            <w:vAlign w:val="bottom"/>
            <w:gridSpan w:val="2"/>
          </w:tcPr>
          <w:p>
            <w:pPr>
              <w:ind w:left="320"/>
              <w:spacing w:after="0"/>
              <w:rPr>
                <w:sz w:val="20"/>
                <w:szCs w:val="20"/>
                <w:color w:val="auto"/>
              </w:rPr>
            </w:pPr>
            <w:r>
              <w:rPr>
                <w:rFonts w:ascii="Arial" w:cs="Arial" w:eastAsia="Arial" w:hAnsi="Arial"/>
                <w:sz w:val="18"/>
                <w:szCs w:val="18"/>
                <w:color w:val="auto"/>
              </w:rPr>
              <w:t>Total long-term debt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22,595</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880" w:type="dxa"/>
            <w:vAlign w:val="bottom"/>
          </w:tcPr>
          <w:p>
            <w:pPr>
              <w:jc w:val="right"/>
              <w:spacing w:after="0"/>
              <w:rPr>
                <w:sz w:val="20"/>
                <w:szCs w:val="20"/>
                <w:color w:val="auto"/>
              </w:rPr>
            </w:pPr>
            <w:r>
              <w:rPr>
                <w:rFonts w:ascii="Arial" w:cs="Arial" w:eastAsia="Arial" w:hAnsi="Arial"/>
                <w:sz w:val="18"/>
                <w:szCs w:val="18"/>
                <w:color w:val="auto"/>
              </w:rPr>
              <w:t>20,950</w:t>
            </w: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80" w:type="dxa"/>
            <w:vAlign w:val="bottom"/>
            <w:tcBorders>
              <w:top w:val="single" w:sz="8" w:color="auto"/>
              <w:bottom w:val="single" w:sz="8" w:color="auto"/>
            </w:tcBorders>
          </w:tcPr>
          <w:p>
            <w:pPr>
              <w:spacing w:after="0" w:line="20" w:lineRule="exact"/>
              <w:rPr>
                <w:sz w:val="1"/>
                <w:szCs w:val="1"/>
                <w:color w:val="auto"/>
              </w:rPr>
            </w:pPr>
          </w:p>
        </w:tc>
      </w:tr>
    </w:tbl>
    <w:p>
      <w:pPr>
        <w:spacing w:after="0" w:line="269"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In May 2023, we completed the public offering and issuance of 800 million Euros aggregate principal amount of 4.500% senior notes due in May 2031. In March 2023, we completed the public offering and issuance of $1.8 billion of senior notes, comprised of $900 million aggregate principal amount of</w:t>
      </w:r>
    </w:p>
    <w:p>
      <w:pPr>
        <w:jc w:val="both"/>
        <w:ind w:right="40"/>
        <w:spacing w:after="0" w:line="255" w:lineRule="auto"/>
        <w:rPr>
          <w:sz w:val="20"/>
          <w:szCs w:val="20"/>
          <w:color w:val="auto"/>
        </w:rPr>
      </w:pPr>
      <w:r>
        <w:rPr>
          <w:rFonts w:ascii="Arial" w:cs="Arial" w:eastAsia="Arial" w:hAnsi="Arial"/>
          <w:sz w:val="18"/>
          <w:szCs w:val="18"/>
          <w:color w:val="auto"/>
        </w:rPr>
        <w:t>5.450% senior notes due in March 2028 and $900 million aggregate principal amount of 5.600% senior notes due in March 2033. We used the net proceeds from these senior notes offerings for general corporate purposes, including the repayment of U.S. commercial paper notes and, in July 2023, the repayment of the 0.375% Euro-denominated senior notes.</w:t>
      </w:r>
    </w:p>
    <w:p>
      <w:pPr>
        <w:spacing w:after="0" w:line="136"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At June 30, 2023, our debt consisted primarily of $19.5 billion of fixed-rate senior notes and $2.6 billion of outstanding borrowings under our commercial paper programs. Interest on our U.S. dollar-denominated senior notes is paid semi-annually,</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while interest on our Euro and British Pound-denominated senior notes is paid annually. Interest on our revolving credit facility and commercial paper notes is generally paid weekly, or more frequently on occasion, and interest on our term loan was paid monthly.</w:t>
      </w:r>
    </w:p>
    <w:p>
      <w:pPr>
        <w:spacing w:after="0" w:line="116"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At June 30, 2023, the 0.375% Euro-denominated senior notes due in July 2023 and 3.800% senior notes due in October 2023 were classified in the consolidated balance sheet as long-term, as we have subsequently refinanced the 0.375% Euro-denominated senior notes due in July 2023 and have the intent to refinance the 3.800% senior notes due in October 2023 on a long-term basis and the ability to do so under our revolving credit facility. Outstanding borrowings under the commercial paper programs are also classified in the consolidated balance sheet as long-term as we have the intent to refinance this commercial paper on a long-term basis through the continued issuance of new commercial paper upon maturity, and also have the ability to refinance such commercial paper under our revolving credit facility.</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8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89"/>
              </w:rPr>
              <w:t>Variable Rate Debt</w:t>
            </w:r>
          </w:p>
        </w:tc>
        <w:tc>
          <w:tcPr>
            <w:tcW w:w="374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398"/>
        </w:trPr>
        <w:tc>
          <w:tcPr>
            <w:tcW w:w="5120" w:type="dxa"/>
            <w:vAlign w:val="bottom"/>
            <w:gridSpan w:val="4"/>
          </w:tcPr>
          <w:p>
            <w:pPr>
              <w:spacing w:after="0"/>
              <w:rPr>
                <w:sz w:val="20"/>
                <w:szCs w:val="20"/>
                <w:color w:val="auto"/>
              </w:rPr>
            </w:pPr>
            <w:r>
              <w:rPr>
                <w:rFonts w:ascii="Arial" w:cs="Arial" w:eastAsia="Arial" w:hAnsi="Arial"/>
                <w:sz w:val="18"/>
                <w:szCs w:val="18"/>
                <w:color w:val="auto"/>
                <w:w w:val="97"/>
              </w:rPr>
              <w:t>Our variable rate debt consisted of the following at June 30, 2023:</w:t>
            </w:r>
          </w:p>
        </w:tc>
        <w:tc>
          <w:tcPr>
            <w:tcW w:w="1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364"/>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80" w:type="dxa"/>
            <w:vAlign w:val="bottom"/>
          </w:tcPr>
          <w:p>
            <w:pPr>
              <w:jc w:val="center"/>
              <w:spacing w:after="0"/>
              <w:rPr>
                <w:sz w:val="20"/>
                <w:szCs w:val="20"/>
                <w:color w:val="auto"/>
              </w:rPr>
            </w:pPr>
            <w:r>
              <w:rPr>
                <w:rFonts w:ascii="Arial" w:cs="Arial" w:eastAsia="Arial" w:hAnsi="Arial"/>
                <w:sz w:val="18"/>
                <w:szCs w:val="18"/>
                <w:b w:val="1"/>
                <w:bCs w:val="1"/>
                <w:color w:val="auto"/>
                <w:w w:val="89"/>
              </w:rPr>
              <w:t>Weighted-Average</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03"/>
        </w:trPr>
        <w:tc>
          <w:tcPr>
            <w:tcW w:w="20" w:type="dxa"/>
            <w:vAlign w:val="bottom"/>
          </w:tcPr>
          <w:p>
            <w:pPr>
              <w:spacing w:after="0"/>
              <w:rPr>
                <w:sz w:val="17"/>
                <w:szCs w:val="17"/>
                <w:color w:val="auto"/>
              </w:rPr>
            </w:pPr>
          </w:p>
        </w:tc>
        <w:tc>
          <w:tcPr>
            <w:tcW w:w="5100" w:type="dxa"/>
            <w:vAlign w:val="bottom"/>
            <w:gridSpan w:val="3"/>
          </w:tcPr>
          <w:p>
            <w:pPr>
              <w:spacing w:after="0"/>
              <w:rPr>
                <w:sz w:val="20"/>
                <w:szCs w:val="20"/>
                <w:color w:val="auto"/>
              </w:rPr>
            </w:pPr>
            <w:r>
              <w:rPr>
                <w:rFonts w:ascii="Arial" w:cs="Arial" w:eastAsia="Arial" w:hAnsi="Arial"/>
                <w:sz w:val="16"/>
                <w:szCs w:val="16"/>
                <w:b w:val="1"/>
                <w:bCs w:val="1"/>
                <w:color w:val="auto"/>
              </w:rPr>
              <w:t>(In millions)</w:t>
            </w:r>
          </w:p>
        </w:tc>
        <w:tc>
          <w:tcPr>
            <w:tcW w:w="198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Maturity</w:t>
            </w:r>
          </w:p>
        </w:tc>
        <w:tc>
          <w:tcPr>
            <w:tcW w:w="80" w:type="dxa"/>
            <w:vAlign w:val="bottom"/>
          </w:tcPr>
          <w:p>
            <w:pPr>
              <w:spacing w:after="0"/>
              <w:rPr>
                <w:sz w:val="17"/>
                <w:szCs w:val="17"/>
                <w:color w:val="auto"/>
              </w:rPr>
            </w:pPr>
          </w:p>
        </w:tc>
        <w:tc>
          <w:tcPr>
            <w:tcW w:w="198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1"/>
              </w:rPr>
              <w:t>Interest Rate</w:t>
            </w:r>
          </w:p>
        </w:tc>
        <w:tc>
          <w:tcPr>
            <w:tcW w:w="100" w:type="dxa"/>
            <w:vAlign w:val="bottom"/>
          </w:tcPr>
          <w:p>
            <w:pPr>
              <w:spacing w:after="0"/>
              <w:rPr>
                <w:sz w:val="17"/>
                <w:szCs w:val="17"/>
                <w:color w:val="auto"/>
              </w:rPr>
            </w:pPr>
          </w:p>
        </w:tc>
        <w:tc>
          <w:tcPr>
            <w:tcW w:w="1980" w:type="dxa"/>
            <w:vAlign w:val="bottom"/>
            <w:gridSpan w:val="2"/>
          </w:tcPr>
          <w:p>
            <w:pPr>
              <w:jc w:val="right"/>
              <w:spacing w:after="0" w:line="202" w:lineRule="exact"/>
              <w:rPr>
                <w:sz w:val="20"/>
                <w:szCs w:val="20"/>
                <w:color w:val="auto"/>
              </w:rPr>
            </w:pPr>
            <w:r>
              <w:rPr>
                <w:rFonts w:ascii="Arial" w:cs="Arial" w:eastAsia="Arial" w:hAnsi="Arial"/>
                <w:sz w:val="18"/>
                <w:szCs w:val="18"/>
                <w:b w:val="1"/>
                <w:bCs w:val="1"/>
                <w:color w:val="auto"/>
                <w:w w:val="90"/>
              </w:rPr>
              <w:t>Outstanding Borrowings</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3740" w:type="dxa"/>
            <w:vAlign w:val="bottom"/>
            <w:tcBorders>
              <w:bottom w:val="single" w:sz="8" w:color="CCEEFF"/>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Foreign lines of credit</w:t>
            </w:r>
          </w:p>
        </w:tc>
        <w:tc>
          <w:tcPr>
            <w:tcW w:w="1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n/a</w:t>
            </w:r>
          </w:p>
        </w:tc>
        <w:tc>
          <w:tcPr>
            <w:tcW w:w="80" w:type="dxa"/>
            <w:vAlign w:val="bottom"/>
            <w:shd w:val="clear" w:color="auto" w:fill="CCEEFF"/>
          </w:tcPr>
          <w:p>
            <w:pPr>
              <w:spacing w:after="0"/>
              <w:rPr>
                <w:sz w:val="19"/>
                <w:szCs w:val="19"/>
                <w:color w:val="auto"/>
              </w:rPr>
            </w:pPr>
          </w:p>
        </w:tc>
        <w:tc>
          <w:tcPr>
            <w:tcW w:w="1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52.83%</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w:t>
            </w:r>
          </w:p>
        </w:tc>
      </w:tr>
      <w:tr>
        <w:trPr>
          <w:trHeight w:val="230"/>
        </w:trPr>
        <w:tc>
          <w:tcPr>
            <w:tcW w:w="20" w:type="dxa"/>
            <w:vAlign w:val="bottom"/>
          </w:tcPr>
          <w:p>
            <w:pPr>
              <w:spacing w:after="0"/>
              <w:rPr>
                <w:sz w:val="19"/>
                <w:szCs w:val="19"/>
                <w:color w:val="auto"/>
              </w:rPr>
            </w:pPr>
          </w:p>
        </w:tc>
        <w:tc>
          <w:tcPr>
            <w:tcW w:w="5100" w:type="dxa"/>
            <w:vAlign w:val="bottom"/>
            <w:gridSpan w:val="3"/>
          </w:tcPr>
          <w:p>
            <w:pPr>
              <w:spacing w:after="0"/>
              <w:rPr>
                <w:sz w:val="20"/>
                <w:szCs w:val="20"/>
                <w:color w:val="auto"/>
              </w:rPr>
            </w:pPr>
            <w:r>
              <w:rPr>
                <w:rFonts w:ascii="Arial" w:cs="Arial" w:eastAsia="Arial" w:hAnsi="Arial"/>
                <w:sz w:val="18"/>
                <w:szCs w:val="18"/>
                <w:color w:val="auto"/>
              </w:rPr>
              <w:t>U.S. dollar commercial paper notes</w:t>
            </w:r>
          </w:p>
        </w:tc>
        <w:tc>
          <w:tcPr>
            <w:tcW w:w="1980" w:type="dxa"/>
            <w:vAlign w:val="bottom"/>
          </w:tcPr>
          <w:p>
            <w:pPr>
              <w:jc w:val="center"/>
              <w:spacing w:after="0"/>
              <w:rPr>
                <w:sz w:val="20"/>
                <w:szCs w:val="20"/>
                <w:color w:val="auto"/>
              </w:rPr>
            </w:pPr>
            <w:r>
              <w:rPr>
                <w:rFonts w:ascii="Arial" w:cs="Arial" w:eastAsia="Arial" w:hAnsi="Arial"/>
                <w:sz w:val="18"/>
                <w:szCs w:val="18"/>
                <w:color w:val="auto"/>
                <w:w w:val="92"/>
              </w:rPr>
              <w:t>various</w:t>
            </w:r>
          </w:p>
        </w:tc>
        <w:tc>
          <w:tcPr>
            <w:tcW w:w="2060" w:type="dxa"/>
            <w:vAlign w:val="bottom"/>
            <w:gridSpan w:val="2"/>
          </w:tcPr>
          <w:p>
            <w:pPr>
              <w:jc w:val="center"/>
              <w:spacing w:after="0"/>
              <w:rPr>
                <w:sz w:val="20"/>
                <w:szCs w:val="20"/>
                <w:color w:val="auto"/>
              </w:rPr>
            </w:pPr>
            <w:r>
              <w:rPr>
                <w:rFonts w:ascii="Arial" w:cs="Arial" w:eastAsia="Arial" w:hAnsi="Arial"/>
                <w:sz w:val="18"/>
                <w:szCs w:val="18"/>
                <w:color w:val="auto"/>
                <w:w w:val="90"/>
              </w:rPr>
              <w:t>5.34%</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1,292</w:t>
            </w:r>
          </w:p>
        </w:tc>
      </w:tr>
      <w:tr>
        <w:trPr>
          <w:trHeight w:val="243"/>
        </w:trPr>
        <w:tc>
          <w:tcPr>
            <w:tcW w:w="20" w:type="dxa"/>
            <w:vAlign w:val="bottom"/>
            <w:shd w:val="clear" w:color="auto" w:fill="CCEEFF"/>
          </w:tcPr>
          <w:p>
            <w:pPr>
              <w:spacing w:after="0"/>
              <w:rPr>
                <w:sz w:val="21"/>
                <w:szCs w:val="21"/>
                <w:color w:val="auto"/>
              </w:rPr>
            </w:pPr>
          </w:p>
        </w:tc>
        <w:tc>
          <w:tcPr>
            <w:tcW w:w="5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Euro commercial paper notes</w:t>
            </w:r>
          </w:p>
        </w:tc>
        <w:tc>
          <w:tcPr>
            <w:tcW w:w="1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various</w:t>
            </w:r>
          </w:p>
        </w:tc>
        <w:tc>
          <w:tcPr>
            <w:tcW w:w="20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0"/>
              </w:rPr>
              <w:t>3.47%</w:t>
            </w:r>
          </w:p>
        </w:tc>
        <w:tc>
          <w:tcPr>
            <w:tcW w:w="10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1,285</w:t>
            </w:r>
          </w:p>
        </w:tc>
      </w:tr>
      <w:tr>
        <w:trPr>
          <w:trHeight w:val="216"/>
        </w:trPr>
        <w:tc>
          <w:tcPr>
            <w:tcW w:w="20" w:type="dxa"/>
            <w:vAlign w:val="bottom"/>
          </w:tcPr>
          <w:p>
            <w:pPr>
              <w:spacing w:after="0"/>
              <w:rPr>
                <w:sz w:val="18"/>
                <w:szCs w:val="18"/>
                <w:color w:val="auto"/>
              </w:rPr>
            </w:pPr>
          </w:p>
        </w:tc>
        <w:tc>
          <w:tcPr>
            <w:tcW w:w="5100" w:type="dxa"/>
            <w:vAlign w:val="bottom"/>
            <w:gridSpan w:val="3"/>
          </w:tcPr>
          <w:p>
            <w:pPr>
              <w:spacing w:after="0"/>
              <w:rPr>
                <w:sz w:val="20"/>
                <w:szCs w:val="20"/>
                <w:color w:val="auto"/>
              </w:rPr>
            </w:pPr>
            <w:r>
              <w:rPr>
                <w:rFonts w:ascii="Arial" w:cs="Arial" w:eastAsia="Arial" w:hAnsi="Arial"/>
                <w:sz w:val="18"/>
                <w:szCs w:val="18"/>
                <w:color w:val="auto"/>
              </w:rPr>
              <w:t>Revolving credit facility</w:t>
            </w:r>
          </w:p>
        </w:tc>
        <w:tc>
          <w:tcPr>
            <w:tcW w:w="1980" w:type="dxa"/>
            <w:vAlign w:val="bottom"/>
          </w:tcPr>
          <w:p>
            <w:pPr>
              <w:jc w:val="center"/>
              <w:spacing w:after="0"/>
              <w:rPr>
                <w:sz w:val="20"/>
                <w:szCs w:val="20"/>
                <w:color w:val="auto"/>
              </w:rPr>
            </w:pPr>
            <w:r>
              <w:rPr>
                <w:rFonts w:ascii="Arial" w:cs="Arial" w:eastAsia="Arial" w:hAnsi="Arial"/>
                <w:sz w:val="18"/>
                <w:szCs w:val="18"/>
                <w:color w:val="auto"/>
                <w:w w:val="87"/>
              </w:rPr>
              <w:t>June 2027</w:t>
            </w:r>
          </w:p>
        </w:tc>
        <w:tc>
          <w:tcPr>
            <w:tcW w:w="80" w:type="dxa"/>
            <w:vAlign w:val="bottom"/>
          </w:tcPr>
          <w:p>
            <w:pPr>
              <w:spacing w:after="0"/>
              <w:rPr>
                <w:sz w:val="18"/>
                <w:szCs w:val="18"/>
                <w:color w:val="auto"/>
              </w:rPr>
            </w:pPr>
          </w:p>
        </w:tc>
        <w:tc>
          <w:tcPr>
            <w:tcW w:w="19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6.19%</w:t>
            </w:r>
          </w:p>
        </w:tc>
        <w:tc>
          <w:tcPr>
            <w:tcW w:w="100" w:type="dxa"/>
            <w:vAlign w:val="bottom"/>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r>
      <w:tr>
        <w:trPr>
          <w:trHeight w:val="256"/>
        </w:trPr>
        <w:tc>
          <w:tcPr>
            <w:tcW w:w="20" w:type="dxa"/>
            <w:vAlign w:val="bottom"/>
            <w:shd w:val="clear" w:color="auto" w:fill="CCEEFF"/>
          </w:tcPr>
          <w:p>
            <w:pPr>
              <w:spacing w:after="0"/>
              <w:rPr>
                <w:sz w:val="22"/>
                <w:szCs w:val="22"/>
                <w:color w:val="auto"/>
              </w:rPr>
            </w:pPr>
          </w:p>
        </w:tc>
        <w:tc>
          <w:tcPr>
            <w:tcW w:w="510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Total variable rate debt</w:t>
            </w:r>
          </w:p>
        </w:tc>
        <w:tc>
          <w:tcPr>
            <w:tcW w:w="1980" w:type="dxa"/>
            <w:vAlign w:val="bottom"/>
            <w:shd w:val="clear" w:color="auto" w:fill="CCEEFF"/>
          </w:tcPr>
          <w:p>
            <w:pPr>
              <w:spacing w:after="0"/>
              <w:rPr>
                <w:sz w:val="22"/>
                <w:szCs w:val="22"/>
                <w:color w:val="auto"/>
              </w:rPr>
            </w:pPr>
          </w:p>
        </w:tc>
        <w:tc>
          <w:tcPr>
            <w:tcW w:w="20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8"/>
              </w:rPr>
              <w:t>10.33%</w:t>
            </w:r>
          </w:p>
        </w:tc>
        <w:tc>
          <w:tcPr>
            <w:tcW w:w="900" w:type="dxa"/>
            <w:vAlign w:val="bottom"/>
            <w:gridSpan w:val="2"/>
            <w:shd w:val="clear" w:color="auto" w:fill="CCEEFF"/>
          </w:tcPr>
          <w:p>
            <w:pPr>
              <w:jc w:val="right"/>
              <w:ind w:right="61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2,971</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3740" w:type="dxa"/>
            <w:vAlign w:val="bottom"/>
            <w:tcBorders>
              <w:top w:val="single" w:sz="8" w:color="CCEEFF"/>
            </w:tcBorders>
          </w:tcPr>
          <w:p>
            <w:pPr>
              <w:spacing w:after="0" w:line="20" w:lineRule="exact"/>
              <w:rPr>
                <w:sz w:val="1"/>
                <w:szCs w:val="1"/>
                <w:color w:val="auto"/>
              </w:rPr>
            </w:pPr>
          </w:p>
        </w:tc>
        <w:tc>
          <w:tcPr>
            <w:tcW w:w="19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We maintain certain short-term lines of credit and other borrowing arrangements with foreign banks and alliance partners primarily to fund settlement activity associated with our operations in Latin America. We entered into an annually renewable term loan facility to fund settlement advance cash payments in Brazil. This term loan, fully funded in April 2023, has a notional value of 514 million Brazilian real ($106 million USD equivalent) at June 30, 2023 that matures in April 2024 and bears interest at a variable Certificado de Depósito Interbancário (CDI) Rate, plus a specified margin of 1.70% per annum. We also maintain U.S. dollar and Euro unsecured commercial paper programs with various maturities generally ranging from one day to four months. Outstanding borrowings under our commercial paper programs bear interest based on the prevailing rates at the time of issuance.</w:t>
      </w:r>
    </w:p>
    <w:p>
      <w:pPr>
        <w:spacing w:after="0" w:line="110"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We maintain a revolving credit facility with aggregate commitments available for $6.0 billion of total capacity. Borrowings under the credit facility bear interest at a variable rate based on a Secured Overnight Financing Rate (SOFR) or a base rate in the case of U.S. dollar borrowings, in each case plus a specified margin based on our long-term debt rating in effect from time to time. We are required to pay a facility fee based on the aggregate commitments in effect under the credit agreement from time to time.</w:t>
      </w:r>
    </w:p>
    <w:p>
      <w:pPr>
        <w:spacing w:after="0" w:line="13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June 2023, we repaid all remaining outstanding borrowings on our existing term loan facility utilizing proceeds from the issuance of U.S. dollar commercial paper notes and operating cash on hand, thereby terminating such facility. Borrowings under the term loan facility accrued interest at a variable rate based on one-month LIBOR or on a base rate, plus, in each case, a specified margin based on the Company’s long-term debt rating in effect from time to time.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Debt Covenants and Compliance</w:t>
      </w:r>
    </w:p>
    <w:p>
      <w:pPr>
        <w:spacing w:after="0" w:line="17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indentures governing our senior notes contain covenants that, among other matters, limit (i) our ability to consolidate or merge with or into, or convey, transfer or lease all or substantially all of our properties and assets to, another person, (ii) our and certain of our subsidiaries’ ability to create or assume liens, and (iii) our and certain of our subsidiaries’ ability to engage in sale and leaseback transactions. We may, at our option, redeem the senior notes, in whole or in part, at any time prior to the applicable maturity date.</w:t>
      </w:r>
    </w:p>
    <w:p>
      <w:pPr>
        <w:spacing w:after="0" w:line="133"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The revolving credit facility contains various restrictions and covenants that require us to, among other things, limit our consolidated indebtedness as of the end of each fiscal quarter to no more than 3.75 times our consolidated net income before interest, taxes, depreciation, amortization, non-cash charges and expenses and certain other adjustments during the period of four fiscal quarters then ended, subject to certain exceptions.</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During the first six months of 2023, we were in compliance with all financial debt covenants. Our ability to meet future debt covenant requirements will depend on our continued ability to generate earnings and cash flows. We expect to remain in compliance with all terms and conditions associated with our outstanding debt, including financial debt covenants.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Guarantees</w:t>
      </w:r>
    </w:p>
    <w:p>
      <w:pPr>
        <w:spacing w:after="0" w:line="171"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We maintain noncontrolling ownership interests in Sagent M&amp;C, LLC and defi SOLUTIONS Group, LLC (collectively, the “Lending Joint Ventures”). The Lending Joint Ventures maintain, as amended in April 2022, variable-rate term loan facilities with aggregate outstanding borrowings of $437 million in senior unsecured debt at June 30, 2023 and variable-rate revolving credit facilities with an aggregate borrowing capacity of $83 million with a syndicate of banks, which mature in April 2027. There were $33 million of outstanding borrowings on the revolving credit facilities at June 30, 2023. We have guaranteed the debt of the Lending Joint Ventures and do not anticipate that the Lending Joint Ventures will fail to fulfill their debt obligations. We maintained a liability of $36 million at June 30, 2023 for the estimated fair value of our non-contingent obligations to stand ready to perform over the term of the guarantee arrangements. Such guarantees will be amortized in future periods over the contractual term of the debt. In addition, we maintained a contingent liability of $21 million at June 30, 2023, representing the current expected credit losses to which we are exposed. This contingent liability is estimated based on certain financial metrics of the Lending Joint Ventures and historical industry data, which is used to develop assumptions of the likelihood the guaranteed parties will default and the level of credit losses in the event a default occurs. We have not made any payments under the guarantees, nor have we been called upon to do so.</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w:t>
      </w:r>
    </w:p>
    <w:p>
      <w:pPr>
        <w:spacing w:after="0" w:line="171" w:lineRule="exact"/>
        <w:rPr>
          <w:sz w:val="20"/>
          <w:szCs w:val="20"/>
          <w:color w:val="auto"/>
        </w:rPr>
      </w:pPr>
    </w:p>
    <w:p>
      <w:pPr>
        <w:ind w:right="680"/>
        <w:spacing w:after="0" w:line="263" w:lineRule="auto"/>
        <w:rPr>
          <w:sz w:val="20"/>
          <w:szCs w:val="20"/>
          <w:color w:val="auto"/>
        </w:rPr>
      </w:pPr>
      <w:r>
        <w:rPr>
          <w:rFonts w:ascii="Arial" w:cs="Arial" w:eastAsia="Arial" w:hAnsi="Arial"/>
          <w:sz w:val="18"/>
          <w:szCs w:val="18"/>
          <w:color w:val="auto"/>
        </w:rPr>
        <w:t>Investments, exclusive of settlement assets, with original maturities of 90 days or less that are readily convertible to cash are considered to be cash equivalents as reflected within our consolidated balance sheets. The table below details our cash and cash equivalents held at June 30, 2023 and December 31, 2022:</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0"/>
              </w:rPr>
              <w:t>June 30, 2023</w:t>
            </w:r>
          </w:p>
        </w:tc>
        <w:tc>
          <w:tcPr>
            <w:tcW w:w="1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91"/>
              </w:rPr>
              <w:t>December 31, 2022</w:t>
            </w:r>
          </w:p>
        </w:tc>
        <w:tc>
          <w:tcPr>
            <w:tcW w:w="1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r>
      <w:tr>
        <w:trPr>
          <w:trHeight w:val="196"/>
        </w:trPr>
        <w:tc>
          <w:tcPr>
            <w:tcW w:w="20" w:type="dxa"/>
            <w:vAlign w:val="bottom"/>
          </w:tcPr>
          <w:p>
            <w:pPr>
              <w:spacing w:after="0"/>
              <w:rPr>
                <w:sz w:val="17"/>
                <w:szCs w:val="17"/>
                <w:color w:val="auto"/>
              </w:rPr>
            </w:pPr>
          </w:p>
        </w:tc>
        <w:tc>
          <w:tcPr>
            <w:tcW w:w="2280" w:type="dxa"/>
            <w:vAlign w:val="bottom"/>
            <w:gridSpan w:val="2"/>
          </w:tcPr>
          <w:p>
            <w:pPr>
              <w:spacing w:after="0"/>
              <w:rPr>
                <w:sz w:val="20"/>
                <w:szCs w:val="20"/>
                <w:color w:val="auto"/>
              </w:rPr>
            </w:pPr>
            <w:r>
              <w:rPr>
                <w:rFonts w:ascii="Arial" w:cs="Arial" w:eastAsia="Arial" w:hAnsi="Arial"/>
                <w:sz w:val="16"/>
                <w:szCs w:val="16"/>
                <w:b w:val="1"/>
                <w:bCs w:val="1"/>
                <w:color w:val="auto"/>
              </w:rPr>
              <w:t>(In millions)</w:t>
            </w:r>
          </w:p>
        </w:tc>
        <w:tc>
          <w:tcPr>
            <w:tcW w:w="220" w:type="dxa"/>
            <w:vAlign w:val="bottom"/>
          </w:tcPr>
          <w:p>
            <w:pPr>
              <w:spacing w:after="0"/>
              <w:rPr>
                <w:sz w:val="17"/>
                <w:szCs w:val="17"/>
                <w:color w:val="auto"/>
              </w:rPr>
            </w:pPr>
          </w:p>
        </w:tc>
        <w:tc>
          <w:tcPr>
            <w:tcW w:w="1140" w:type="dxa"/>
            <w:vAlign w:val="bottom"/>
          </w:tcPr>
          <w:p>
            <w:pPr>
              <w:jc w:val="right"/>
              <w:ind w:right="230"/>
              <w:spacing w:after="0" w:line="196" w:lineRule="exact"/>
              <w:rPr>
                <w:sz w:val="20"/>
                <w:szCs w:val="20"/>
                <w:color w:val="auto"/>
              </w:rPr>
            </w:pPr>
            <w:r>
              <w:rPr>
                <w:rFonts w:ascii="Arial" w:cs="Arial" w:eastAsia="Arial" w:hAnsi="Arial"/>
                <w:sz w:val="18"/>
                <w:szCs w:val="18"/>
                <w:b w:val="1"/>
                <w:bCs w:val="1"/>
                <w:color w:val="auto"/>
                <w:w w:val="98"/>
              </w:rPr>
              <w:t>Domestic</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jc w:val="right"/>
              <w:ind w:right="110"/>
              <w:spacing w:after="0" w:line="196" w:lineRule="exact"/>
              <w:rPr>
                <w:sz w:val="20"/>
                <w:szCs w:val="20"/>
                <w:color w:val="auto"/>
              </w:rPr>
            </w:pPr>
            <w:r>
              <w:rPr>
                <w:rFonts w:ascii="Arial" w:cs="Arial" w:eastAsia="Arial" w:hAnsi="Arial"/>
                <w:sz w:val="18"/>
                <w:szCs w:val="18"/>
                <w:b w:val="1"/>
                <w:bCs w:val="1"/>
                <w:color w:val="auto"/>
                <w:w w:val="98"/>
              </w:rPr>
              <w:t>International</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jc w:val="right"/>
              <w:ind w:right="370"/>
              <w:spacing w:after="0" w:line="196" w:lineRule="exact"/>
              <w:rPr>
                <w:sz w:val="20"/>
                <w:szCs w:val="20"/>
                <w:color w:val="auto"/>
              </w:rPr>
            </w:pPr>
            <w:r>
              <w:rPr>
                <w:rFonts w:ascii="Arial" w:cs="Arial" w:eastAsia="Arial" w:hAnsi="Arial"/>
                <w:sz w:val="18"/>
                <w:szCs w:val="18"/>
                <w:b w:val="1"/>
                <w:bCs w:val="1"/>
                <w:color w:val="auto"/>
              </w:rPr>
              <w:t>Total</w:t>
            </w: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jc w:val="right"/>
              <w:ind w:right="250"/>
              <w:spacing w:after="0" w:line="196" w:lineRule="exact"/>
              <w:rPr>
                <w:sz w:val="20"/>
                <w:szCs w:val="20"/>
                <w:color w:val="auto"/>
              </w:rPr>
            </w:pPr>
            <w:r>
              <w:rPr>
                <w:rFonts w:ascii="Arial" w:cs="Arial" w:eastAsia="Arial" w:hAnsi="Arial"/>
                <w:sz w:val="18"/>
                <w:szCs w:val="18"/>
                <w:b w:val="1"/>
                <w:bCs w:val="1"/>
                <w:color w:val="auto"/>
                <w:w w:val="98"/>
              </w:rPr>
              <w:t>Domestic</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jc w:val="right"/>
              <w:ind w:right="110"/>
              <w:spacing w:after="0" w:line="196" w:lineRule="exact"/>
              <w:rPr>
                <w:sz w:val="20"/>
                <w:szCs w:val="20"/>
                <w:color w:val="auto"/>
              </w:rPr>
            </w:pPr>
            <w:r>
              <w:rPr>
                <w:rFonts w:ascii="Arial" w:cs="Arial" w:eastAsia="Arial" w:hAnsi="Arial"/>
                <w:sz w:val="18"/>
                <w:szCs w:val="18"/>
                <w:b w:val="1"/>
                <w:bCs w:val="1"/>
                <w:color w:val="auto"/>
                <w:w w:val="96"/>
              </w:rPr>
              <w:t>International</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jc w:val="right"/>
              <w:ind w:right="370"/>
              <w:spacing w:after="0" w:line="196" w:lineRule="exact"/>
              <w:rPr>
                <w:sz w:val="20"/>
                <w:szCs w:val="20"/>
                <w:color w:val="auto"/>
              </w:rPr>
            </w:pPr>
            <w:r>
              <w:rPr>
                <w:rFonts w:ascii="Arial" w:cs="Arial" w:eastAsia="Arial" w:hAnsi="Arial"/>
                <w:sz w:val="18"/>
                <w:szCs w:val="18"/>
                <w:b w:val="1"/>
                <w:bCs w:val="1"/>
                <w:color w:val="auto"/>
              </w:rPr>
              <w:t>Total</w:t>
            </w:r>
          </w:p>
        </w:tc>
      </w:tr>
      <w:tr>
        <w:trPr>
          <w:trHeight w:val="20"/>
        </w:trPr>
        <w:tc>
          <w:tcPr>
            <w:tcW w:w="20" w:type="dxa"/>
            <w:vAlign w:val="bottom"/>
          </w:tcPr>
          <w:p>
            <w:pPr>
              <w:spacing w:after="0" w:line="20" w:lineRule="exact"/>
              <w:rPr>
                <w:sz w:val="1"/>
                <w:szCs w:val="1"/>
                <w:color w:val="auto"/>
              </w:rPr>
            </w:pPr>
          </w:p>
        </w:tc>
        <w:tc>
          <w:tcPr>
            <w:tcW w:w="860" w:type="dxa"/>
            <w:vAlign w:val="bottom"/>
            <w:tcBorders>
              <w:top w:val="single" w:sz="8" w:color="auto"/>
            </w:tcBorders>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24"/>
        </w:trPr>
        <w:tc>
          <w:tcPr>
            <w:tcW w:w="20" w:type="dxa"/>
            <w:vAlign w:val="bottom"/>
            <w:shd w:val="clear" w:color="auto" w:fill="CCEEFF"/>
          </w:tcPr>
          <w:p>
            <w:pPr>
              <w:spacing w:after="0"/>
              <w:rPr>
                <w:sz w:val="19"/>
                <w:szCs w:val="19"/>
                <w:color w:val="auto"/>
              </w:rPr>
            </w:pPr>
          </w:p>
        </w:tc>
        <w:tc>
          <w:tcPr>
            <w:tcW w:w="2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Available</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3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w:t>
            </w:r>
          </w:p>
        </w:tc>
        <w:tc>
          <w:tcPr>
            <w:tcW w:w="5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3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w:t>
            </w:r>
          </w:p>
        </w:tc>
      </w:tr>
      <w:tr>
        <w:trPr>
          <w:trHeight w:val="230"/>
        </w:trPr>
        <w:tc>
          <w:tcPr>
            <w:tcW w:w="20" w:type="dxa"/>
            <w:vAlign w:val="bottom"/>
            <w:tcBorders>
              <w:bottom w:val="single" w:sz="8" w:color="CCEEFF"/>
            </w:tcBorders>
          </w:tcPr>
          <w:p>
            <w:pPr>
              <w:spacing w:after="0"/>
              <w:rPr>
                <w:sz w:val="19"/>
                <w:szCs w:val="19"/>
                <w:color w:val="auto"/>
              </w:rPr>
            </w:pPr>
          </w:p>
        </w:tc>
        <w:tc>
          <w:tcPr>
            <w:tcW w:w="2280" w:type="dxa"/>
            <w:vAlign w:val="bottom"/>
            <w:tcBorders>
              <w:bottom w:val="single" w:sz="8" w:color="CCEEFF"/>
            </w:tcBorders>
            <w:gridSpan w:val="2"/>
          </w:tcPr>
          <w:p>
            <w:pPr>
              <w:spacing w:after="0" w:line="230" w:lineRule="exact"/>
              <w:rPr>
                <w:sz w:val="20"/>
                <w:szCs w:val="20"/>
                <w:color w:val="auto"/>
              </w:rPr>
            </w:pPr>
            <w:r>
              <w:rPr>
                <w:rFonts w:ascii="Arial" w:cs="Arial" w:eastAsia="Arial" w:hAnsi="Arial"/>
                <w:sz w:val="18"/>
                <w:szCs w:val="18"/>
                <w:color w:val="auto"/>
              </w:rPr>
              <w:t xml:space="preserve">Unavailable </w:t>
            </w:r>
            <w:r>
              <w:rPr>
                <w:rFonts w:ascii="Arial" w:cs="Arial" w:eastAsia="Arial" w:hAnsi="Arial"/>
                <w:sz w:val="23"/>
                <w:szCs w:val="23"/>
                <w:color w:val="auto"/>
                <w:vertAlign w:val="superscript"/>
              </w:rPr>
              <w:t>(1)</w:t>
            </w: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641</w:t>
            </w:r>
          </w:p>
        </w:tc>
        <w:tc>
          <w:tcPr>
            <w:tcW w:w="3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178</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436</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614</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228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1,082</w:t>
            </w:r>
          </w:p>
        </w:tc>
        <w:tc>
          <w:tcPr>
            <w:tcW w:w="3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313</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902</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179" w:lineRule="exact"/>
        <w:rPr>
          <w:sz w:val="20"/>
          <w:szCs w:val="20"/>
          <w:color w:val="auto"/>
        </w:rPr>
      </w:pPr>
    </w:p>
    <w:p>
      <w:pPr>
        <w:ind w:left="660" w:right="420" w:hanging="328"/>
        <w:spacing w:after="0" w:line="280" w:lineRule="auto"/>
        <w:tabs>
          <w:tab w:leader="none" w:pos="660" w:val="left"/>
        </w:tabs>
        <w:numPr>
          <w:ilvl w:val="0"/>
          <w:numId w:val="13"/>
        </w:numPr>
        <w:rPr>
          <w:rFonts w:ascii="Arial" w:cs="Arial" w:eastAsia="Arial" w:hAnsi="Arial"/>
          <w:sz w:val="18"/>
          <w:szCs w:val="18"/>
          <w:color w:val="auto"/>
          <w:vertAlign w:val="superscript"/>
        </w:rPr>
      </w:pPr>
      <w:r>
        <w:rPr>
          <w:rFonts w:ascii="Arial" w:cs="Arial" w:eastAsia="Arial" w:hAnsi="Arial"/>
          <w:sz w:val="14"/>
          <w:szCs w:val="14"/>
          <w:color w:val="auto"/>
        </w:rPr>
        <w:t>Represents cash held by our joint ventures that is not available to fund operations outside of those entities unless the board of directors of the relevant entity declares a dividend, as well as cash held by other entities that are subject to foreign exchange controls in certain countries or regulatory capital requirements.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75"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Market risk refers to the risk that a change in the level of one or more market prices, interest rates, currency exchange rates, indices, correlations or other market factors, such as liquidity, will result in losses for a certain financial instrument or group of financial instruments. Our senior management actively monitors certain market risks to which we are exposed, primarily from fluctuations in interest rates and foreign currency exchange rates. In order to limit our exposure to these risks, we may enter into derivative instruments with creditworthy institutions to hedge against changing interest rates and foreign currency rate fluctuations. We currently utilize forward exchange contracts, fixed-to-fixed cross-currency rate swap contracts and other non-derivative hedging instruments to manage risk.</w:t>
      </w:r>
    </w:p>
    <w:p>
      <w:pPr>
        <w:spacing w:after="0" w:line="138"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Additional information about market risks to which we are exposed is included within Item 7A of our Annual Report on Form 10-K for the year ended December 31, 2022. There were no significant changes to our quantitative and qualitative analyses about market risk during the six months ended June 30, 2023.</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171"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As required by Rule 13a-15(b) under the Securities Exchange Act of 1934 (the “Exchange Act”), our management, with the participation of our chief executive officer and chief financial officer, evaluated the design and operation of our disclosure controls and procedures (as defined in Rules 13a-15(e) and 15d-15(e) under the Exchange Act). Based on this evaluation, our chief executive officer and chief financial officer concluded that our disclosure controls and procedures were effective as of June 30, 2023.</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17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There was no change in internal control over financial reporting that occurred during the three months ended June 30, 2023 that has materially affected, or is reasonably likely to materially affect, our internal control over financial reporting.</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75"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In the normal course of business, we or our subsidiaries are named as defendants in lawsuits in which claims are asserted against us. In the opinion of management, the liabilities, if any, which may ultimately result from such lawsuits are not expected to have a material adverse effect on our consolidated financial statements.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sets forth information with respect to purchases made by or on behalf of us or any “affiliated purchaser” (as defined in Rule 10b-18(a)(3)</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under the Exchange Act) of shares of our common stock during the three months ended June 30, 2023:</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60" w:type="dxa"/>
            <w:vAlign w:val="bottom"/>
          </w:tcPr>
          <w:p>
            <w:pPr>
              <w:jc w:val="center"/>
              <w:spacing w:after="0"/>
              <w:rPr>
                <w:sz w:val="20"/>
                <w:szCs w:val="20"/>
                <w:color w:val="auto"/>
              </w:rPr>
            </w:pPr>
            <w:r>
              <w:rPr>
                <w:rFonts w:ascii="Arial" w:cs="Arial" w:eastAsia="Arial" w:hAnsi="Arial"/>
                <w:sz w:val="14"/>
                <w:szCs w:val="14"/>
                <w:b w:val="1"/>
                <w:bCs w:val="1"/>
                <w:color w:val="auto"/>
                <w:w w:val="94"/>
              </w:rPr>
              <w:t>Total Number of</w:t>
            </w:r>
          </w:p>
        </w:tc>
        <w:tc>
          <w:tcPr>
            <w:tcW w:w="100" w:type="dxa"/>
            <w:vAlign w:val="bottom"/>
          </w:tcPr>
          <w:p>
            <w:pPr>
              <w:spacing w:after="0"/>
              <w:rPr>
                <w:sz w:val="14"/>
                <w:szCs w:val="14"/>
                <w:color w:val="auto"/>
              </w:rPr>
            </w:pPr>
          </w:p>
        </w:tc>
        <w:tc>
          <w:tcPr>
            <w:tcW w:w="2060" w:type="dxa"/>
            <w:vAlign w:val="bottom"/>
          </w:tcPr>
          <w:p>
            <w:pPr>
              <w:jc w:val="center"/>
              <w:spacing w:after="0"/>
              <w:rPr>
                <w:sz w:val="20"/>
                <w:szCs w:val="20"/>
                <w:color w:val="auto"/>
              </w:rPr>
            </w:pPr>
            <w:r>
              <w:rPr>
                <w:rFonts w:ascii="Arial" w:cs="Arial" w:eastAsia="Arial" w:hAnsi="Arial"/>
                <w:sz w:val="14"/>
                <w:szCs w:val="14"/>
                <w:b w:val="1"/>
                <w:bCs w:val="1"/>
                <w:color w:val="auto"/>
                <w:w w:val="97"/>
              </w:rPr>
              <w:t>Maximum Number</w:t>
            </w:r>
          </w:p>
        </w:tc>
        <w:tc>
          <w:tcPr>
            <w:tcW w:w="0" w:type="dxa"/>
            <w:vAlign w:val="bottom"/>
          </w:tcPr>
          <w:p>
            <w:pPr>
              <w:spacing w:after="0"/>
              <w:rPr>
                <w:sz w:val="1"/>
                <w:szCs w:val="1"/>
                <w:color w:val="auto"/>
              </w:rPr>
            </w:pPr>
          </w:p>
        </w:tc>
      </w:tr>
      <w:tr>
        <w:trPr>
          <w:trHeight w:val="139"/>
        </w:trPr>
        <w:tc>
          <w:tcPr>
            <w:tcW w:w="35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6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w w:val="88"/>
              </w:rPr>
              <w:t>Shares Purchased</w:t>
            </w:r>
          </w:p>
        </w:tc>
        <w:tc>
          <w:tcPr>
            <w:tcW w:w="100" w:type="dxa"/>
            <w:vAlign w:val="bottom"/>
          </w:tcPr>
          <w:p>
            <w:pPr>
              <w:spacing w:after="0"/>
              <w:rPr>
                <w:sz w:val="12"/>
                <w:szCs w:val="12"/>
                <w:color w:val="auto"/>
              </w:rPr>
            </w:pPr>
          </w:p>
        </w:tc>
        <w:tc>
          <w:tcPr>
            <w:tcW w:w="206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w w:val="93"/>
              </w:rPr>
              <w:t>of Shares that May</w:t>
            </w:r>
          </w:p>
        </w:tc>
        <w:tc>
          <w:tcPr>
            <w:tcW w:w="0" w:type="dxa"/>
            <w:vAlign w:val="bottom"/>
          </w:tcPr>
          <w:p>
            <w:pPr>
              <w:spacing w:after="0"/>
              <w:rPr>
                <w:sz w:val="1"/>
                <w:szCs w:val="1"/>
                <w:color w:val="auto"/>
              </w:rPr>
            </w:pPr>
          </w:p>
        </w:tc>
      </w:tr>
      <w:tr>
        <w:trPr>
          <w:trHeight w:val="148"/>
        </w:trPr>
        <w:tc>
          <w:tcPr>
            <w:tcW w:w="3540" w:type="dxa"/>
            <w:vAlign w:val="bottom"/>
          </w:tcPr>
          <w:p>
            <w:pPr>
              <w:spacing w:after="0"/>
              <w:rPr>
                <w:sz w:val="12"/>
                <w:szCs w:val="12"/>
                <w:color w:val="auto"/>
              </w:rPr>
            </w:pPr>
          </w:p>
        </w:tc>
        <w:tc>
          <w:tcPr>
            <w:tcW w:w="1660" w:type="dxa"/>
            <w:vAlign w:val="bottom"/>
            <w:vMerge w:val="restart"/>
          </w:tcPr>
          <w:p>
            <w:pPr>
              <w:jc w:val="right"/>
              <w:ind w:right="256"/>
              <w:spacing w:after="0"/>
              <w:rPr>
                <w:sz w:val="20"/>
                <w:szCs w:val="20"/>
                <w:color w:val="auto"/>
              </w:rPr>
            </w:pPr>
            <w:r>
              <w:rPr>
                <w:rFonts w:ascii="Arial" w:cs="Arial" w:eastAsia="Arial" w:hAnsi="Arial"/>
                <w:sz w:val="14"/>
                <w:szCs w:val="14"/>
                <w:b w:val="1"/>
                <w:bCs w:val="1"/>
                <w:color w:val="auto"/>
              </w:rPr>
              <w:t>Total Number of</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20" w:type="dxa"/>
            <w:vAlign w:val="bottom"/>
            <w:vMerge w:val="restart"/>
          </w:tcPr>
          <w:p>
            <w:pPr>
              <w:jc w:val="right"/>
              <w:ind w:right="317"/>
              <w:spacing w:after="0"/>
              <w:rPr>
                <w:sz w:val="20"/>
                <w:szCs w:val="20"/>
                <w:color w:val="auto"/>
              </w:rPr>
            </w:pPr>
            <w:r>
              <w:rPr>
                <w:rFonts w:ascii="Arial" w:cs="Arial" w:eastAsia="Arial" w:hAnsi="Arial"/>
                <w:sz w:val="14"/>
                <w:szCs w:val="14"/>
                <w:b w:val="1"/>
                <w:bCs w:val="1"/>
                <w:color w:val="auto"/>
              </w:rPr>
              <w:t>Average Price</w:t>
            </w:r>
          </w:p>
        </w:tc>
        <w:tc>
          <w:tcPr>
            <w:tcW w:w="120" w:type="dxa"/>
            <w:vAlign w:val="bottom"/>
          </w:tcPr>
          <w:p>
            <w:pPr>
              <w:spacing w:after="0"/>
              <w:rPr>
                <w:sz w:val="12"/>
                <w:szCs w:val="12"/>
                <w:color w:val="auto"/>
              </w:rPr>
            </w:pPr>
          </w:p>
        </w:tc>
        <w:tc>
          <w:tcPr>
            <w:tcW w:w="1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as Part of Publicly</w:t>
            </w:r>
          </w:p>
        </w:tc>
        <w:tc>
          <w:tcPr>
            <w:tcW w:w="100" w:type="dxa"/>
            <w:vAlign w:val="bottom"/>
          </w:tcPr>
          <w:p>
            <w:pPr>
              <w:spacing w:after="0"/>
              <w:rPr>
                <w:sz w:val="12"/>
                <w:szCs w:val="12"/>
                <w:color w:val="auto"/>
              </w:rPr>
            </w:pPr>
          </w:p>
        </w:tc>
        <w:tc>
          <w:tcPr>
            <w:tcW w:w="2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Yet Be Purchased</w:t>
            </w:r>
          </w:p>
        </w:tc>
        <w:tc>
          <w:tcPr>
            <w:tcW w:w="0" w:type="dxa"/>
            <w:vAlign w:val="bottom"/>
          </w:tcPr>
          <w:p>
            <w:pPr>
              <w:spacing w:after="0"/>
              <w:rPr>
                <w:sz w:val="1"/>
                <w:szCs w:val="1"/>
                <w:color w:val="auto"/>
              </w:rPr>
            </w:pPr>
          </w:p>
        </w:tc>
      </w:tr>
      <w:tr>
        <w:trPr>
          <w:trHeight w:val="144"/>
        </w:trPr>
        <w:tc>
          <w:tcPr>
            <w:tcW w:w="35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Period</w:t>
            </w:r>
          </w:p>
        </w:tc>
        <w:tc>
          <w:tcPr>
            <w:tcW w:w="16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96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1"/>
              </w:rPr>
              <w:t>Announced Plans</w:t>
            </w:r>
          </w:p>
        </w:tc>
        <w:tc>
          <w:tcPr>
            <w:tcW w:w="100" w:type="dxa"/>
            <w:vAlign w:val="bottom"/>
          </w:tcPr>
          <w:p>
            <w:pPr>
              <w:spacing w:after="0"/>
              <w:rPr>
                <w:sz w:val="12"/>
                <w:szCs w:val="12"/>
                <w:color w:val="auto"/>
              </w:rPr>
            </w:pPr>
          </w:p>
        </w:tc>
        <w:tc>
          <w:tcPr>
            <w:tcW w:w="206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3"/>
              </w:rPr>
              <w:t>Under the Plans or</w:t>
            </w:r>
          </w:p>
        </w:tc>
        <w:tc>
          <w:tcPr>
            <w:tcW w:w="0" w:type="dxa"/>
            <w:vAlign w:val="bottom"/>
          </w:tcPr>
          <w:p>
            <w:pPr>
              <w:spacing w:after="0"/>
              <w:rPr>
                <w:sz w:val="1"/>
                <w:szCs w:val="1"/>
                <w:color w:val="auto"/>
              </w:rPr>
            </w:pPr>
          </w:p>
        </w:tc>
      </w:tr>
      <w:tr>
        <w:trPr>
          <w:trHeight w:val="196"/>
        </w:trPr>
        <w:tc>
          <w:tcPr>
            <w:tcW w:w="3540" w:type="dxa"/>
            <w:vAlign w:val="bottom"/>
            <w:tcBorders>
              <w:bottom w:val="single" w:sz="8" w:color="auto"/>
            </w:tcBorders>
            <w:vMerge w:val="continue"/>
          </w:tcPr>
          <w:p>
            <w:pPr>
              <w:spacing w:after="0"/>
              <w:rPr>
                <w:sz w:val="17"/>
                <w:szCs w:val="17"/>
                <w:color w:val="auto"/>
              </w:rPr>
            </w:pPr>
          </w:p>
        </w:tc>
        <w:tc>
          <w:tcPr>
            <w:tcW w:w="166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Shares Purchased</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rPr>
              <w:t>Paid per Share</w:t>
            </w:r>
          </w:p>
        </w:tc>
        <w:tc>
          <w:tcPr>
            <w:tcW w:w="120" w:type="dxa"/>
            <w:vAlign w:val="bottom"/>
            <w:tcBorders>
              <w:bottom w:val="single" w:sz="8" w:color="CCEEFF"/>
            </w:tcBorders>
          </w:tcPr>
          <w:p>
            <w:pPr>
              <w:spacing w:after="0"/>
              <w:rPr>
                <w:sz w:val="17"/>
                <w:szCs w:val="17"/>
                <w:color w:val="auto"/>
              </w:rPr>
            </w:pPr>
          </w:p>
        </w:tc>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 xml:space="preserve">or Programs </w:t>
            </w:r>
            <w:r>
              <w:rPr>
                <w:rFonts w:ascii="Arial" w:cs="Arial" w:eastAsia="Arial" w:hAnsi="Arial"/>
                <w:sz w:val="9"/>
                <w:szCs w:val="9"/>
                <w:b w:val="1"/>
                <w:bCs w:val="1"/>
                <w:color w:val="auto"/>
                <w:w w:val="93"/>
              </w:rPr>
              <w:t>(1)</w:t>
            </w:r>
          </w:p>
        </w:tc>
        <w:tc>
          <w:tcPr>
            <w:tcW w:w="100" w:type="dxa"/>
            <w:vAlign w:val="bottom"/>
            <w:tcBorders>
              <w:bottom w:val="single" w:sz="8" w:color="CCEEFF"/>
            </w:tcBorders>
          </w:tcPr>
          <w:p>
            <w:pPr>
              <w:spacing w:after="0"/>
              <w:rPr>
                <w:sz w:val="17"/>
                <w:szCs w:val="17"/>
                <w:color w:val="auto"/>
              </w:rPr>
            </w:pP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 xml:space="preserve">Programs </w:t>
            </w:r>
            <w:r>
              <w:rPr>
                <w:rFonts w:ascii="Arial" w:cs="Arial" w:eastAsia="Arial" w:hAnsi="Arial"/>
                <w:sz w:val="9"/>
                <w:szCs w:val="9"/>
                <w:b w:val="1"/>
                <w:bCs w:val="1"/>
                <w:color w:val="auto"/>
                <w:w w:val="94"/>
              </w:rPr>
              <w:t>(1)</w:t>
            </w:r>
          </w:p>
        </w:tc>
        <w:tc>
          <w:tcPr>
            <w:tcW w:w="0" w:type="dxa"/>
            <w:vAlign w:val="bottom"/>
          </w:tcPr>
          <w:p>
            <w:pPr>
              <w:spacing w:after="0"/>
              <w:rPr>
                <w:sz w:val="1"/>
                <w:szCs w:val="1"/>
                <w:color w:val="auto"/>
              </w:rPr>
            </w:pPr>
          </w:p>
        </w:tc>
      </w:tr>
      <w:tr>
        <w:trPr>
          <w:trHeight w:val="229"/>
        </w:trPr>
        <w:tc>
          <w:tcPr>
            <w:tcW w:w="3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April 1-30, 2023</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3,022,755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115.79</w:t>
            </w:r>
          </w:p>
        </w:tc>
        <w:tc>
          <w:tcPr>
            <w:tcW w:w="120" w:type="dxa"/>
            <w:vAlign w:val="bottom"/>
            <w:shd w:val="clear" w:color="auto" w:fill="CCEEFF"/>
          </w:tcPr>
          <w:p>
            <w:pPr>
              <w:spacing w:after="0"/>
              <w:rPr>
                <w:sz w:val="19"/>
                <w:szCs w:val="19"/>
                <w:color w:val="auto"/>
              </w:rPr>
            </w:pPr>
          </w:p>
        </w:tc>
        <w:tc>
          <w:tcPr>
            <w:tcW w:w="1960" w:type="dxa"/>
            <w:vAlign w:val="bottom"/>
            <w:shd w:val="clear" w:color="auto" w:fill="CCEEFF"/>
          </w:tcPr>
          <w:p>
            <w:pPr>
              <w:jc w:val="right"/>
              <w:ind w:right="3"/>
              <w:spacing w:after="0"/>
              <w:rPr>
                <w:sz w:val="20"/>
                <w:szCs w:val="20"/>
                <w:color w:val="auto"/>
              </w:rPr>
            </w:pPr>
            <w:r>
              <w:rPr>
                <w:rFonts w:ascii="Arial" w:cs="Arial" w:eastAsia="Arial" w:hAnsi="Arial"/>
                <w:sz w:val="18"/>
                <w:szCs w:val="18"/>
                <w:color w:val="auto"/>
              </w:rPr>
              <w:t>3,022,755</w:t>
            </w:r>
          </w:p>
        </w:tc>
        <w:tc>
          <w:tcPr>
            <w:tcW w:w="100" w:type="dxa"/>
            <w:vAlign w:val="bottom"/>
            <w:shd w:val="clear" w:color="auto" w:fill="CCEEFF"/>
          </w:tcPr>
          <w:p>
            <w:pPr>
              <w:spacing w:after="0"/>
              <w:rPr>
                <w:sz w:val="19"/>
                <w:szCs w:val="19"/>
                <w:color w:val="auto"/>
              </w:rPr>
            </w:pPr>
          </w:p>
        </w:tc>
        <w:tc>
          <w:tcPr>
            <w:tcW w:w="2060" w:type="dxa"/>
            <w:vAlign w:val="bottom"/>
            <w:shd w:val="clear" w:color="auto" w:fill="CCEEFF"/>
          </w:tcPr>
          <w:p>
            <w:pPr>
              <w:jc w:val="right"/>
              <w:ind w:right="5"/>
              <w:spacing w:after="0"/>
              <w:rPr>
                <w:sz w:val="20"/>
                <w:szCs w:val="20"/>
                <w:color w:val="auto"/>
              </w:rPr>
            </w:pPr>
            <w:r>
              <w:rPr>
                <w:rFonts w:ascii="Arial" w:cs="Arial" w:eastAsia="Arial" w:hAnsi="Arial"/>
                <w:sz w:val="18"/>
                <w:szCs w:val="18"/>
                <w:color w:val="auto"/>
              </w:rPr>
              <w:t>75,632,537</w:t>
            </w:r>
          </w:p>
        </w:tc>
        <w:tc>
          <w:tcPr>
            <w:tcW w:w="0" w:type="dxa"/>
            <w:vAlign w:val="bottom"/>
          </w:tcPr>
          <w:p>
            <w:pPr>
              <w:spacing w:after="0"/>
              <w:rPr>
                <w:sz w:val="1"/>
                <w:szCs w:val="1"/>
                <w:color w:val="auto"/>
              </w:rPr>
            </w:pPr>
          </w:p>
        </w:tc>
      </w:tr>
      <w:tr>
        <w:trPr>
          <w:trHeight w:val="237"/>
        </w:trPr>
        <w:tc>
          <w:tcPr>
            <w:tcW w:w="3540" w:type="dxa"/>
            <w:vAlign w:val="bottom"/>
          </w:tcPr>
          <w:p>
            <w:pPr>
              <w:ind w:left="20"/>
              <w:spacing w:after="0"/>
              <w:rPr>
                <w:sz w:val="20"/>
                <w:szCs w:val="20"/>
                <w:color w:val="auto"/>
              </w:rPr>
            </w:pPr>
            <w:r>
              <w:rPr>
                <w:rFonts w:ascii="Arial" w:cs="Arial" w:eastAsia="Arial" w:hAnsi="Arial"/>
                <w:sz w:val="18"/>
                <w:szCs w:val="18"/>
                <w:color w:val="auto"/>
              </w:rPr>
              <w:t>May 1-31, 2023</w:t>
            </w:r>
          </w:p>
        </w:tc>
        <w:tc>
          <w:tcPr>
            <w:tcW w:w="1660" w:type="dxa"/>
            <w:vAlign w:val="bottom"/>
          </w:tcPr>
          <w:p>
            <w:pPr>
              <w:jc w:val="right"/>
              <w:spacing w:after="0"/>
              <w:rPr>
                <w:sz w:val="20"/>
                <w:szCs w:val="20"/>
                <w:color w:val="auto"/>
              </w:rPr>
            </w:pPr>
            <w:r>
              <w:rPr>
                <w:rFonts w:ascii="Arial" w:cs="Arial" w:eastAsia="Arial" w:hAnsi="Arial"/>
                <w:sz w:val="18"/>
                <w:szCs w:val="18"/>
                <w:color w:val="auto"/>
              </w:rPr>
              <w:t>3,107,300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117.68</w:t>
            </w:r>
          </w:p>
        </w:tc>
        <w:tc>
          <w:tcPr>
            <w:tcW w:w="2080" w:type="dxa"/>
            <w:vAlign w:val="bottom"/>
            <w:gridSpan w:val="2"/>
          </w:tcPr>
          <w:p>
            <w:pPr>
              <w:jc w:val="right"/>
              <w:ind w:right="3"/>
              <w:spacing w:after="0"/>
              <w:rPr>
                <w:sz w:val="20"/>
                <w:szCs w:val="20"/>
                <w:color w:val="auto"/>
              </w:rPr>
            </w:pPr>
            <w:r>
              <w:rPr>
                <w:rFonts w:ascii="Arial" w:cs="Arial" w:eastAsia="Arial" w:hAnsi="Arial"/>
                <w:sz w:val="18"/>
                <w:szCs w:val="18"/>
                <w:color w:val="auto"/>
              </w:rPr>
              <w:t>3,107,300</w:t>
            </w:r>
          </w:p>
        </w:tc>
        <w:tc>
          <w:tcPr>
            <w:tcW w:w="2160" w:type="dxa"/>
            <w:vAlign w:val="bottom"/>
            <w:gridSpan w:val="2"/>
          </w:tcPr>
          <w:p>
            <w:pPr>
              <w:jc w:val="right"/>
              <w:ind w:right="5"/>
              <w:spacing w:after="0"/>
              <w:rPr>
                <w:sz w:val="20"/>
                <w:szCs w:val="20"/>
                <w:color w:val="auto"/>
              </w:rPr>
            </w:pPr>
            <w:r>
              <w:rPr>
                <w:rFonts w:ascii="Arial" w:cs="Arial" w:eastAsia="Arial" w:hAnsi="Arial"/>
                <w:sz w:val="18"/>
                <w:szCs w:val="18"/>
                <w:color w:val="auto"/>
              </w:rPr>
              <w:t>72,525,237</w:t>
            </w:r>
          </w:p>
        </w:tc>
        <w:tc>
          <w:tcPr>
            <w:tcW w:w="0" w:type="dxa"/>
            <w:vAlign w:val="bottom"/>
          </w:tcPr>
          <w:p>
            <w:pPr>
              <w:spacing w:after="0"/>
              <w:rPr>
                <w:sz w:val="1"/>
                <w:szCs w:val="1"/>
                <w:color w:val="auto"/>
              </w:rPr>
            </w:pPr>
          </w:p>
        </w:tc>
      </w:tr>
      <w:tr>
        <w:trPr>
          <w:trHeight w:val="236"/>
        </w:trPr>
        <w:tc>
          <w:tcPr>
            <w:tcW w:w="3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June 1-30, 2023</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2,422,158</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117.39</w:t>
            </w:r>
          </w:p>
        </w:tc>
        <w:tc>
          <w:tcPr>
            <w:tcW w:w="208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2,422,158</w:t>
            </w:r>
          </w:p>
        </w:tc>
        <w:tc>
          <w:tcPr>
            <w:tcW w:w="216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70,103,079</w:t>
            </w:r>
          </w:p>
        </w:tc>
        <w:tc>
          <w:tcPr>
            <w:tcW w:w="0" w:type="dxa"/>
            <w:vAlign w:val="bottom"/>
          </w:tcPr>
          <w:p>
            <w:pPr>
              <w:spacing w:after="0"/>
              <w:rPr>
                <w:sz w:val="1"/>
                <w:szCs w:val="1"/>
                <w:color w:val="auto"/>
              </w:rPr>
            </w:pPr>
          </w:p>
        </w:tc>
      </w:tr>
      <w:tr>
        <w:trPr>
          <w:trHeight w:val="223"/>
        </w:trPr>
        <w:tc>
          <w:tcPr>
            <w:tcW w:w="3540" w:type="dxa"/>
            <w:vAlign w:val="bottom"/>
          </w:tcPr>
          <w:p>
            <w:pPr>
              <w:ind w:left="360"/>
              <w:spacing w:after="0"/>
              <w:rPr>
                <w:sz w:val="20"/>
                <w:szCs w:val="20"/>
                <w:color w:val="auto"/>
              </w:rPr>
            </w:pPr>
            <w:r>
              <w:rPr>
                <w:rFonts w:ascii="Arial" w:cs="Arial" w:eastAsia="Arial" w:hAnsi="Arial"/>
                <w:sz w:val="18"/>
                <w:szCs w:val="18"/>
                <w:color w:val="auto"/>
              </w:rPr>
              <w:t>Total</w:t>
            </w:r>
          </w:p>
        </w:tc>
        <w:tc>
          <w:tcPr>
            <w:tcW w:w="1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8,552,213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6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8"/>
                <w:szCs w:val="18"/>
                <w:color w:val="auto"/>
              </w:rPr>
              <w:t>8,552,213</w:t>
            </w:r>
          </w:p>
        </w:tc>
        <w:tc>
          <w:tcPr>
            <w:tcW w:w="10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354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ind w:left="660" w:right="80" w:hanging="328"/>
        <w:spacing w:after="0" w:line="227" w:lineRule="auto"/>
        <w:tabs>
          <w:tab w:leader="none" w:pos="660" w:val="left"/>
        </w:tabs>
        <w:numPr>
          <w:ilvl w:val="0"/>
          <w:numId w:val="14"/>
        </w:numPr>
        <w:rPr>
          <w:rFonts w:ascii="Arial" w:cs="Arial" w:eastAsia="Arial" w:hAnsi="Arial"/>
          <w:sz w:val="23"/>
          <w:szCs w:val="23"/>
          <w:color w:val="auto"/>
          <w:vertAlign w:val="superscript"/>
        </w:rPr>
      </w:pPr>
      <w:r>
        <w:rPr>
          <w:rFonts w:ascii="Arial" w:cs="Arial" w:eastAsia="Arial" w:hAnsi="Arial"/>
          <w:sz w:val="18"/>
          <w:szCs w:val="18"/>
          <w:color w:val="auto"/>
        </w:rPr>
        <w:t>On November 19, 2020 and February 22, 2023, our board of directors authorized the purchase of up to 60.0 million and 75.0 million shares of our common stock, respectively. These authorizations do not expire.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62"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During the three months ended June 30, 2023, no director or Section 16 officer of the Company adopted or terminated a “Rule 10b5-1 trading arrangement” or “non-Rule 10b5-1 trading arrangement,” as each term is defined in Item 408(a) of Regulation S-K.</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exhibits listed in the accompanying exhibit index are filed as part of this Quarterly Report on Form 10-Q.</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20" w:type="dxa"/>
            <w:vAlign w:val="bottom"/>
            <w:gridSpan w:val="6"/>
          </w:tcPr>
          <w:p>
            <w:pPr>
              <w:ind w:left="96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283"/>
        </w:trPr>
        <w:tc>
          <w:tcPr>
            <w:tcW w:w="1840" w:type="dxa"/>
            <w:vAlign w:val="bottom"/>
            <w:gridSpan w:val="2"/>
          </w:tcPr>
          <w:p>
            <w:pPr>
              <w:spacing w:after="0"/>
              <w:rPr>
                <w:sz w:val="20"/>
                <w:szCs w:val="20"/>
                <w:color w:val="auto"/>
              </w:rPr>
            </w:pPr>
            <w:r>
              <w:rPr>
                <w:rFonts w:ascii="Arial" w:cs="Arial" w:eastAsia="Arial" w:hAnsi="Arial"/>
                <w:sz w:val="16"/>
                <w:szCs w:val="16"/>
                <w:b w:val="1"/>
                <w:bCs w:val="1"/>
                <w:color w:val="auto"/>
              </w:rPr>
              <w:t>Exhibit</w:t>
            </w:r>
          </w:p>
        </w:tc>
        <w:tc>
          <w:tcPr>
            <w:tcW w:w="9300" w:type="dxa"/>
            <w:vAlign w:val="bottom"/>
            <w:gridSpan w:val="9"/>
            <w:vMerge w:val="restart"/>
          </w:tcPr>
          <w:p>
            <w:pPr>
              <w:spacing w:after="0"/>
              <w:rPr>
                <w:sz w:val="20"/>
                <w:szCs w:val="20"/>
                <w:color w:val="auto"/>
              </w:rPr>
            </w:pPr>
            <w:r>
              <w:rPr>
                <w:rFonts w:ascii="Arial" w:cs="Arial" w:eastAsia="Arial" w:hAnsi="Arial"/>
                <w:sz w:val="16"/>
                <w:szCs w:val="16"/>
                <w:b w:val="1"/>
                <w:bCs w:val="1"/>
                <w:color w:val="auto"/>
              </w:rPr>
              <w:t>Exhibit Description</w:t>
            </w:r>
          </w:p>
        </w:tc>
        <w:tc>
          <w:tcPr>
            <w:tcW w:w="0" w:type="dxa"/>
            <w:vAlign w:val="bottom"/>
          </w:tcPr>
          <w:p>
            <w:pPr>
              <w:spacing w:after="0"/>
              <w:rPr>
                <w:sz w:val="1"/>
                <w:szCs w:val="1"/>
                <w:color w:val="auto"/>
              </w:rPr>
            </w:pPr>
          </w:p>
        </w:tc>
      </w:tr>
      <w:tr>
        <w:trPr>
          <w:trHeight w:val="176"/>
        </w:trPr>
        <w:tc>
          <w:tcPr>
            <w:tcW w:w="1840" w:type="dxa"/>
            <w:vAlign w:val="bottom"/>
            <w:gridSpan w:val="2"/>
          </w:tcPr>
          <w:p>
            <w:pPr>
              <w:spacing w:after="0" w:line="175" w:lineRule="exact"/>
              <w:rPr>
                <w:sz w:val="20"/>
                <w:szCs w:val="20"/>
                <w:color w:val="auto"/>
              </w:rPr>
            </w:pPr>
            <w:r>
              <w:rPr>
                <w:rFonts w:ascii="Arial" w:cs="Arial" w:eastAsia="Arial" w:hAnsi="Arial"/>
                <w:sz w:val="16"/>
                <w:szCs w:val="16"/>
                <w:b w:val="1"/>
                <w:bCs w:val="1"/>
                <w:color w:val="auto"/>
              </w:rPr>
              <w:t>Number</w:t>
            </w:r>
          </w:p>
        </w:tc>
        <w:tc>
          <w:tcPr>
            <w:tcW w:w="9300" w:type="dxa"/>
            <w:vAlign w:val="bottom"/>
            <w:gridSpan w:val="9"/>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80" w:type="dxa"/>
            <w:vAlign w:val="bottom"/>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580" w:type="dxa"/>
            <w:vAlign w:val="bottom"/>
          </w:tcPr>
          <w:p>
            <w:pPr>
              <w:ind w:left="120"/>
              <w:spacing w:after="0"/>
              <w:rPr>
                <w:sz w:val="20"/>
                <w:szCs w:val="20"/>
                <w:color w:val="auto"/>
              </w:rPr>
            </w:pPr>
            <w:r>
              <w:rPr>
                <w:rFonts w:ascii="Arial" w:cs="Arial" w:eastAsia="Arial" w:hAnsi="Arial"/>
                <w:sz w:val="18"/>
                <w:szCs w:val="18"/>
                <w:color w:val="auto"/>
              </w:rPr>
              <w:t>4.1</w:t>
            </w:r>
          </w:p>
        </w:tc>
        <w:tc>
          <w:tcPr>
            <w:tcW w:w="1260" w:type="dxa"/>
            <w:vAlign w:val="bottom"/>
          </w:tcPr>
          <w:p>
            <w:pPr>
              <w:spacing w:after="0"/>
              <w:rPr>
                <w:sz w:val="22"/>
                <w:szCs w:val="22"/>
                <w:color w:val="auto"/>
              </w:rPr>
            </w:pPr>
          </w:p>
        </w:tc>
        <w:tc>
          <w:tcPr>
            <w:tcW w:w="9300" w:type="dxa"/>
            <w:vAlign w:val="bottom"/>
            <w:gridSpan w:val="9"/>
          </w:tcPr>
          <w:p>
            <w:pPr>
              <w:spacing w:after="0"/>
              <w:rPr>
                <w:rFonts w:ascii="Arial" w:cs="Arial" w:eastAsia="Arial" w:hAnsi="Arial"/>
                <w:sz w:val="18"/>
                <w:szCs w:val="18"/>
                <w:color w:val="0000FF"/>
                <w:w w:val="91"/>
              </w:rPr>
            </w:pPr>
            <w:hyperlink r:id="rId79">
              <w:r>
                <w:rPr>
                  <w:rFonts w:ascii="Arial" w:cs="Arial" w:eastAsia="Arial" w:hAnsi="Arial"/>
                  <w:sz w:val="18"/>
                  <w:szCs w:val="18"/>
                  <w:color w:val="0000FF"/>
                  <w:w w:val="91"/>
                </w:rPr>
                <w:t>Twenty-Ninth Supplemental Indenture, dated as of May 24, 2023, between Fiserv, Inc. and U.S. Bank Trust Company, National</w:t>
              </w:r>
            </w:hyperlink>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9180" w:type="dxa"/>
            <w:vAlign w:val="bottom"/>
            <w:tcBorders>
              <w:top w:val="single" w:sz="8" w:color="0000FF"/>
            </w:tcBorders>
            <w:gridSpan w:val="8"/>
          </w:tcPr>
          <w:p>
            <w:pPr>
              <w:spacing w:after="0" w:line="156" w:lineRule="exact"/>
              <w:rPr>
                <w:rFonts w:ascii="Arial" w:cs="Arial" w:eastAsia="Arial" w:hAnsi="Arial"/>
                <w:sz w:val="18"/>
                <w:szCs w:val="18"/>
                <w:color w:val="0000FF"/>
                <w:w w:val="94"/>
              </w:rPr>
            </w:pPr>
            <w:hyperlink r:id="rId79">
              <w:r>
                <w:rPr>
                  <w:rFonts w:ascii="Arial" w:cs="Arial" w:eastAsia="Arial" w:hAnsi="Arial"/>
                  <w:sz w:val="18"/>
                  <w:szCs w:val="18"/>
                  <w:color w:val="0000FF"/>
                  <w:w w:val="94"/>
                </w:rPr>
                <w:t>Association (incorporated by reference to Exhibit 4.1 to the Current Report on Form 8-K of Fiserv, Inc. filed May 24, 2023)</w:t>
              </w:r>
            </w:hyperlink>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920" w:type="dxa"/>
            <w:vAlign w:val="bottom"/>
            <w:gridSpan w:val="2"/>
            <w:shd w:val="clear" w:color="auto" w:fill="0000FF"/>
          </w:tcPr>
          <w:p>
            <w:pPr>
              <w:spacing w:after="0" w:line="20" w:lineRule="exact"/>
              <w:rPr>
                <w:sz w:val="1"/>
                <w:szCs w:val="1"/>
                <w:color w:val="auto"/>
              </w:rPr>
            </w:pPr>
          </w:p>
        </w:tc>
        <w:tc>
          <w:tcPr>
            <w:tcW w:w="5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80" w:type="dxa"/>
            <w:vAlign w:val="bottom"/>
          </w:tcPr>
          <w:p>
            <w:pPr>
              <w:ind w:left="120"/>
              <w:spacing w:after="0"/>
              <w:rPr>
                <w:sz w:val="20"/>
                <w:szCs w:val="20"/>
                <w:color w:val="auto"/>
              </w:rPr>
            </w:pPr>
            <w:r>
              <w:rPr>
                <w:rFonts w:ascii="Arial" w:cs="Arial" w:eastAsia="Arial" w:hAnsi="Arial"/>
                <w:sz w:val="18"/>
                <w:szCs w:val="18"/>
                <w:color w:val="auto"/>
              </w:rPr>
              <w:t>4.2</w:t>
            </w:r>
          </w:p>
        </w:tc>
        <w:tc>
          <w:tcPr>
            <w:tcW w:w="1260" w:type="dxa"/>
            <w:vAlign w:val="bottom"/>
          </w:tcPr>
          <w:p>
            <w:pPr>
              <w:spacing w:after="0"/>
              <w:rPr>
                <w:sz w:val="24"/>
                <w:szCs w:val="24"/>
                <w:color w:val="auto"/>
              </w:rPr>
            </w:pPr>
          </w:p>
        </w:tc>
        <w:tc>
          <w:tcPr>
            <w:tcW w:w="9300" w:type="dxa"/>
            <w:vAlign w:val="bottom"/>
            <w:tcBorders>
              <w:bottom w:val="single" w:sz="8" w:color="0000FF"/>
            </w:tcBorders>
            <w:gridSpan w:val="9"/>
          </w:tcPr>
          <w:p>
            <w:pPr>
              <w:spacing w:after="0"/>
              <w:rPr>
                <w:rFonts w:ascii="Arial" w:cs="Arial" w:eastAsia="Arial" w:hAnsi="Arial"/>
                <w:sz w:val="18"/>
                <w:szCs w:val="18"/>
                <w:color w:val="0000FF"/>
                <w:w w:val="91"/>
              </w:rPr>
            </w:pPr>
            <w:hyperlink r:id="rId80">
              <w:r>
                <w:rPr>
                  <w:rFonts w:ascii="Arial" w:cs="Arial" w:eastAsia="Arial" w:hAnsi="Arial"/>
                  <w:sz w:val="18"/>
                  <w:szCs w:val="18"/>
                  <w:color w:val="0000FF"/>
                  <w:w w:val="91"/>
                </w:rPr>
                <w:t>Agency Agreement, dated as of May 24, 2023, by and among Fiserv, Inc., Elavon Financial Services DAC, UK Branch, and U.S.</w:t>
              </w:r>
            </w:hyperlink>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9300" w:type="dxa"/>
            <w:vAlign w:val="bottom"/>
            <w:gridSpan w:val="9"/>
          </w:tcPr>
          <w:p>
            <w:pPr>
              <w:spacing w:after="0" w:line="156" w:lineRule="exact"/>
              <w:rPr>
                <w:rFonts w:ascii="Arial" w:cs="Arial" w:eastAsia="Arial" w:hAnsi="Arial"/>
                <w:sz w:val="18"/>
                <w:szCs w:val="18"/>
                <w:color w:val="0000FF"/>
                <w:w w:val="96"/>
              </w:rPr>
            </w:pPr>
            <w:hyperlink r:id="rId80">
              <w:r>
                <w:rPr>
                  <w:rFonts w:ascii="Arial" w:cs="Arial" w:eastAsia="Arial" w:hAnsi="Arial"/>
                  <w:sz w:val="18"/>
                  <w:szCs w:val="18"/>
                  <w:color w:val="0000FF"/>
                  <w:w w:val="96"/>
                </w:rPr>
                <w:t>Bank Trust Company, National Association (incorporated by reference to Exhibit 4.2 to the Current Report on Form 8-K of</w:t>
              </w:r>
            </w:hyperlink>
          </w:p>
        </w:tc>
        <w:tc>
          <w:tcPr>
            <w:tcW w:w="0" w:type="dxa"/>
            <w:vAlign w:val="bottom"/>
          </w:tcPr>
          <w:p>
            <w:pPr>
              <w:spacing w:after="0"/>
              <w:rPr>
                <w:sz w:val="1"/>
                <w:szCs w:val="1"/>
                <w:color w:val="auto"/>
              </w:rPr>
            </w:pPr>
          </w:p>
        </w:tc>
      </w:tr>
      <w:tr>
        <w:trPr>
          <w:trHeight w:val="169"/>
        </w:trPr>
        <w:tc>
          <w:tcPr>
            <w:tcW w:w="5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920" w:type="dxa"/>
            <w:vAlign w:val="bottom"/>
            <w:tcBorders>
              <w:top w:val="single" w:sz="8" w:color="0000FF"/>
            </w:tcBorders>
            <w:gridSpan w:val="6"/>
          </w:tcPr>
          <w:p>
            <w:pPr>
              <w:spacing w:after="0" w:line="169" w:lineRule="exact"/>
              <w:rPr>
                <w:rFonts w:ascii="Arial" w:cs="Arial" w:eastAsia="Arial" w:hAnsi="Arial"/>
                <w:sz w:val="18"/>
                <w:szCs w:val="18"/>
                <w:color w:val="0000FF"/>
              </w:rPr>
            </w:pPr>
            <w:hyperlink r:id="rId80">
              <w:r>
                <w:rPr>
                  <w:rFonts w:ascii="Arial" w:cs="Arial" w:eastAsia="Arial" w:hAnsi="Arial"/>
                  <w:sz w:val="18"/>
                  <w:szCs w:val="18"/>
                  <w:color w:val="0000FF"/>
                </w:rPr>
                <w:t>Fiserv, Inc. filed May 24, 2023)</w:t>
              </w:r>
            </w:hyperlink>
          </w:p>
        </w:tc>
        <w:tc>
          <w:tcPr>
            <w:tcW w:w="140" w:type="dxa"/>
            <w:vAlign w:val="bottom"/>
          </w:tcPr>
          <w:p>
            <w:pPr>
              <w:spacing w:after="0"/>
              <w:rPr>
                <w:sz w:val="14"/>
                <w:szCs w:val="14"/>
                <w:color w:val="auto"/>
              </w:rPr>
            </w:pPr>
          </w:p>
        </w:tc>
        <w:tc>
          <w:tcPr>
            <w:tcW w:w="2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920" w:type="dxa"/>
            <w:vAlign w:val="bottom"/>
            <w:gridSpan w:val="2"/>
            <w:shd w:val="clear" w:color="auto" w:fill="0000FF"/>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80" w:type="dxa"/>
            <w:vAlign w:val="bottom"/>
          </w:tcPr>
          <w:p>
            <w:pPr>
              <w:ind w:left="120"/>
              <w:spacing w:after="0"/>
              <w:rPr>
                <w:sz w:val="20"/>
                <w:szCs w:val="20"/>
                <w:color w:val="auto"/>
              </w:rPr>
            </w:pPr>
            <w:r>
              <w:rPr>
                <w:rFonts w:ascii="Arial" w:cs="Arial" w:eastAsia="Arial" w:hAnsi="Arial"/>
                <w:sz w:val="18"/>
                <w:szCs w:val="18"/>
                <w:color w:val="auto"/>
              </w:rPr>
              <w:t>31.1</w:t>
            </w:r>
          </w:p>
        </w:tc>
        <w:tc>
          <w:tcPr>
            <w:tcW w:w="1260" w:type="dxa"/>
            <w:vAlign w:val="bottom"/>
          </w:tcPr>
          <w:p>
            <w:pPr>
              <w:spacing w:after="0"/>
              <w:rPr>
                <w:sz w:val="24"/>
                <w:szCs w:val="24"/>
                <w:color w:val="auto"/>
              </w:rPr>
            </w:pPr>
          </w:p>
        </w:tc>
        <w:tc>
          <w:tcPr>
            <w:tcW w:w="7440" w:type="dxa"/>
            <w:vAlign w:val="bottom"/>
            <w:tcBorders>
              <w:bottom w:val="single" w:sz="8" w:color="0000FF"/>
            </w:tcBorders>
            <w:gridSpan w:val="5"/>
          </w:tcPr>
          <w:p>
            <w:pPr>
              <w:spacing w:after="0"/>
              <w:rPr>
                <w:sz w:val="20"/>
                <w:szCs w:val="20"/>
                <w:color w:val="auto"/>
              </w:rPr>
            </w:pPr>
            <w:r>
              <w:rPr>
                <w:rFonts w:ascii="Arial" w:cs="Arial" w:eastAsia="Arial" w:hAnsi="Arial"/>
                <w:sz w:val="18"/>
                <w:szCs w:val="18"/>
                <w:color w:val="0000FF"/>
                <w:w w:val="91"/>
              </w:rPr>
              <w:t>Certification of the Chief Executive Officer pursuant to Section 302 of the Sarbanes-Oxley Act of 2002</w:t>
            </w:r>
          </w:p>
        </w:tc>
        <w:tc>
          <w:tcPr>
            <w:tcW w:w="186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80" w:type="dxa"/>
            <w:vAlign w:val="bottom"/>
          </w:tcPr>
          <w:p>
            <w:pPr>
              <w:ind w:left="120"/>
              <w:spacing w:after="0"/>
              <w:rPr>
                <w:sz w:val="20"/>
                <w:szCs w:val="20"/>
                <w:color w:val="auto"/>
              </w:rPr>
            </w:pPr>
            <w:r>
              <w:rPr>
                <w:rFonts w:ascii="Arial" w:cs="Arial" w:eastAsia="Arial" w:hAnsi="Arial"/>
                <w:sz w:val="18"/>
                <w:szCs w:val="18"/>
                <w:color w:val="auto"/>
              </w:rPr>
              <w:t>31.2</w:t>
            </w:r>
          </w:p>
        </w:tc>
        <w:tc>
          <w:tcPr>
            <w:tcW w:w="1260" w:type="dxa"/>
            <w:vAlign w:val="bottom"/>
          </w:tcPr>
          <w:p>
            <w:pPr>
              <w:spacing w:after="0"/>
              <w:rPr>
                <w:sz w:val="24"/>
                <w:szCs w:val="24"/>
                <w:color w:val="auto"/>
              </w:rPr>
            </w:pPr>
          </w:p>
        </w:tc>
        <w:tc>
          <w:tcPr>
            <w:tcW w:w="9300" w:type="dxa"/>
            <w:vAlign w:val="bottom"/>
            <w:gridSpan w:val="9"/>
          </w:tcPr>
          <w:p>
            <w:pPr>
              <w:spacing w:after="0"/>
              <w:rPr>
                <w:sz w:val="20"/>
                <w:szCs w:val="20"/>
                <w:color w:val="auto"/>
              </w:rPr>
            </w:pPr>
            <w:r>
              <w:rPr>
                <w:rFonts w:ascii="Arial" w:cs="Arial" w:eastAsia="Arial" w:hAnsi="Arial"/>
                <w:sz w:val="18"/>
                <w:szCs w:val="18"/>
                <w:color w:val="0000FF"/>
              </w:rPr>
              <w:t>Certification of the Chief Financial Officer pursuant to Section 302 of the Sarbanes-Oxley Act of 2002</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7020" w:type="dxa"/>
            <w:vAlign w:val="bottom"/>
            <w:gridSpan w:val="3"/>
            <w:shd w:val="clear" w:color="auto" w:fill="0000FF"/>
          </w:tcPr>
          <w:p>
            <w:pPr>
              <w:spacing w:after="0" w:line="20" w:lineRule="exact"/>
              <w:rPr>
                <w:sz w:val="1"/>
                <w:szCs w:val="1"/>
                <w:color w:val="auto"/>
              </w:rPr>
            </w:pPr>
          </w:p>
        </w:tc>
        <w:tc>
          <w:tcPr>
            <w:tcW w:w="168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80" w:type="dxa"/>
            <w:vAlign w:val="bottom"/>
          </w:tcPr>
          <w:p>
            <w:pPr>
              <w:ind w:left="120"/>
              <w:spacing w:after="0"/>
              <w:rPr>
                <w:sz w:val="20"/>
                <w:szCs w:val="20"/>
                <w:color w:val="auto"/>
              </w:rPr>
            </w:pPr>
            <w:r>
              <w:rPr>
                <w:rFonts w:ascii="Arial" w:cs="Arial" w:eastAsia="Arial" w:hAnsi="Arial"/>
                <w:sz w:val="18"/>
                <w:szCs w:val="18"/>
                <w:color w:val="auto"/>
              </w:rPr>
              <w:t>32.1</w:t>
            </w:r>
          </w:p>
        </w:tc>
        <w:tc>
          <w:tcPr>
            <w:tcW w:w="1260" w:type="dxa"/>
            <w:vAlign w:val="bottom"/>
          </w:tcPr>
          <w:p>
            <w:pPr>
              <w:spacing w:after="0"/>
              <w:rPr>
                <w:sz w:val="24"/>
                <w:szCs w:val="24"/>
                <w:color w:val="auto"/>
              </w:rPr>
            </w:pPr>
          </w:p>
        </w:tc>
        <w:tc>
          <w:tcPr>
            <w:tcW w:w="9300" w:type="dxa"/>
            <w:vAlign w:val="bottom"/>
            <w:gridSpan w:val="9"/>
          </w:tcPr>
          <w:p>
            <w:pPr>
              <w:spacing w:after="0"/>
              <w:rPr>
                <w:sz w:val="20"/>
                <w:szCs w:val="20"/>
                <w:color w:val="auto"/>
              </w:rPr>
            </w:pPr>
            <w:r>
              <w:rPr>
                <w:rFonts w:ascii="Arial" w:cs="Arial" w:eastAsia="Arial" w:hAnsi="Arial"/>
                <w:sz w:val="18"/>
                <w:szCs w:val="18"/>
                <w:color w:val="0000FF"/>
                <w:w w:val="94"/>
              </w:rPr>
              <w:t>Certification of the Chief Executive Officer and Chief Financial Officer pursuant to Section 906 of the Sarbanes-Oxley Act of</w:t>
            </w: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360" w:type="dxa"/>
            <w:vAlign w:val="bottom"/>
            <w:tcBorders>
              <w:top w:val="single" w:sz="8" w:color="0000FF"/>
              <w:bottom w:val="single" w:sz="8" w:color="0000FF"/>
            </w:tcBorders>
          </w:tcPr>
          <w:p>
            <w:pPr>
              <w:spacing w:after="0" w:line="156" w:lineRule="exact"/>
              <w:rPr>
                <w:sz w:val="20"/>
                <w:szCs w:val="20"/>
                <w:color w:val="auto"/>
              </w:rPr>
            </w:pPr>
            <w:r>
              <w:rPr>
                <w:rFonts w:ascii="Arial" w:cs="Arial" w:eastAsia="Arial" w:hAnsi="Arial"/>
                <w:sz w:val="18"/>
                <w:szCs w:val="18"/>
                <w:color w:val="0000FF"/>
                <w:w w:val="84"/>
              </w:rPr>
              <w:t>2002</w:t>
            </w:r>
          </w:p>
        </w:tc>
        <w:tc>
          <w:tcPr>
            <w:tcW w:w="1000" w:type="dxa"/>
            <w:vAlign w:val="bottom"/>
            <w:tcBorders>
              <w:top w:val="single" w:sz="8" w:color="0000FF"/>
            </w:tcBorders>
          </w:tcPr>
          <w:p>
            <w:pPr>
              <w:spacing w:after="0"/>
              <w:rPr>
                <w:sz w:val="13"/>
                <w:szCs w:val="13"/>
                <w:color w:val="auto"/>
              </w:rPr>
            </w:pPr>
          </w:p>
        </w:tc>
        <w:tc>
          <w:tcPr>
            <w:tcW w:w="920" w:type="dxa"/>
            <w:vAlign w:val="bottom"/>
            <w:tcBorders>
              <w:top w:val="single" w:sz="8" w:color="0000FF"/>
            </w:tcBorders>
          </w:tcPr>
          <w:p>
            <w:pPr>
              <w:spacing w:after="0"/>
              <w:rPr>
                <w:sz w:val="13"/>
                <w:szCs w:val="13"/>
                <w:color w:val="auto"/>
              </w:rPr>
            </w:pPr>
          </w:p>
        </w:tc>
        <w:tc>
          <w:tcPr>
            <w:tcW w:w="510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148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0"/>
        </w:trPr>
        <w:tc>
          <w:tcPr>
            <w:tcW w:w="1840" w:type="dxa"/>
            <w:vAlign w:val="bottom"/>
            <w:gridSpan w:val="2"/>
          </w:tcPr>
          <w:p>
            <w:pPr>
              <w:ind w:left="120"/>
              <w:spacing w:after="0"/>
              <w:rPr>
                <w:sz w:val="20"/>
                <w:szCs w:val="20"/>
                <w:color w:val="auto"/>
              </w:rPr>
            </w:pPr>
            <w:r>
              <w:rPr>
                <w:rFonts w:ascii="Arial" w:cs="Arial" w:eastAsia="Arial" w:hAnsi="Arial"/>
                <w:sz w:val="18"/>
                <w:szCs w:val="18"/>
                <w:color w:val="auto"/>
              </w:rPr>
              <w:t>101.INS*</w:t>
            </w:r>
          </w:p>
        </w:tc>
        <w:tc>
          <w:tcPr>
            <w:tcW w:w="9300" w:type="dxa"/>
            <w:vAlign w:val="bottom"/>
            <w:gridSpan w:val="9"/>
          </w:tcPr>
          <w:p>
            <w:pPr>
              <w:spacing w:after="0"/>
              <w:rPr>
                <w:sz w:val="20"/>
                <w:szCs w:val="20"/>
                <w:color w:val="auto"/>
              </w:rPr>
            </w:pPr>
            <w:r>
              <w:rPr>
                <w:rFonts w:ascii="Arial" w:cs="Arial" w:eastAsia="Arial" w:hAnsi="Arial"/>
                <w:sz w:val="18"/>
                <w:szCs w:val="18"/>
                <w:color w:val="auto"/>
                <w:w w:val="92"/>
              </w:rPr>
              <w:t>Inline XBRL Instance Document - The XBRL Instance Document does not appear in the interactive data file because its XBRL</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9300" w:type="dxa"/>
            <w:vAlign w:val="bottom"/>
            <w:gridSpan w:val="9"/>
          </w:tcPr>
          <w:p>
            <w:pPr>
              <w:spacing w:after="0"/>
              <w:rPr>
                <w:sz w:val="20"/>
                <w:szCs w:val="20"/>
                <w:color w:val="auto"/>
              </w:rPr>
            </w:pPr>
            <w:r>
              <w:rPr>
                <w:rFonts w:ascii="Arial" w:cs="Arial" w:eastAsia="Arial" w:hAnsi="Arial"/>
                <w:sz w:val="18"/>
                <w:szCs w:val="18"/>
                <w:color w:val="auto"/>
              </w:rPr>
              <w:t>tags are embedded within the Inline XBRL Document</w:t>
            </w:r>
          </w:p>
        </w:tc>
        <w:tc>
          <w:tcPr>
            <w:tcW w:w="0" w:type="dxa"/>
            <w:vAlign w:val="bottom"/>
          </w:tcPr>
          <w:p>
            <w:pPr>
              <w:spacing w:after="0"/>
              <w:rPr>
                <w:sz w:val="1"/>
                <w:szCs w:val="1"/>
                <w:color w:val="auto"/>
              </w:rPr>
            </w:pPr>
          </w:p>
        </w:tc>
      </w:tr>
      <w:tr>
        <w:trPr>
          <w:trHeight w:val="323"/>
        </w:trPr>
        <w:tc>
          <w:tcPr>
            <w:tcW w:w="1840" w:type="dxa"/>
            <w:vAlign w:val="bottom"/>
            <w:gridSpan w:val="2"/>
          </w:tcPr>
          <w:p>
            <w:pPr>
              <w:ind w:left="120"/>
              <w:spacing w:after="0"/>
              <w:rPr>
                <w:sz w:val="20"/>
                <w:szCs w:val="20"/>
                <w:color w:val="auto"/>
              </w:rPr>
            </w:pPr>
            <w:r>
              <w:rPr>
                <w:rFonts w:ascii="Arial" w:cs="Arial" w:eastAsia="Arial" w:hAnsi="Arial"/>
                <w:sz w:val="18"/>
                <w:szCs w:val="18"/>
                <w:color w:val="auto"/>
              </w:rPr>
              <w:t>101.SCH*</w:t>
            </w:r>
          </w:p>
        </w:tc>
        <w:tc>
          <w:tcPr>
            <w:tcW w:w="9300" w:type="dxa"/>
            <w:vAlign w:val="bottom"/>
            <w:gridSpan w:val="9"/>
          </w:tcPr>
          <w:p>
            <w:pPr>
              <w:spacing w:after="0"/>
              <w:rPr>
                <w:sz w:val="20"/>
                <w:szCs w:val="20"/>
                <w:color w:val="auto"/>
              </w:rPr>
            </w:pPr>
            <w:r>
              <w:rPr>
                <w:rFonts w:ascii="Arial" w:cs="Arial" w:eastAsia="Arial" w:hAnsi="Arial"/>
                <w:sz w:val="18"/>
                <w:szCs w:val="18"/>
                <w:color w:val="auto"/>
              </w:rPr>
              <w:t>Inline XBRL Taxonomy Extension Schema Document</w:t>
            </w:r>
          </w:p>
        </w:tc>
        <w:tc>
          <w:tcPr>
            <w:tcW w:w="0" w:type="dxa"/>
            <w:vAlign w:val="bottom"/>
          </w:tcPr>
          <w:p>
            <w:pPr>
              <w:spacing w:after="0"/>
              <w:rPr>
                <w:sz w:val="1"/>
                <w:szCs w:val="1"/>
                <w:color w:val="auto"/>
              </w:rPr>
            </w:pPr>
          </w:p>
        </w:tc>
      </w:tr>
      <w:tr>
        <w:trPr>
          <w:trHeight w:val="324"/>
        </w:trPr>
        <w:tc>
          <w:tcPr>
            <w:tcW w:w="1840" w:type="dxa"/>
            <w:vAlign w:val="bottom"/>
            <w:gridSpan w:val="2"/>
          </w:tcPr>
          <w:p>
            <w:pPr>
              <w:ind w:left="120"/>
              <w:spacing w:after="0"/>
              <w:rPr>
                <w:sz w:val="20"/>
                <w:szCs w:val="20"/>
                <w:color w:val="auto"/>
              </w:rPr>
            </w:pPr>
            <w:r>
              <w:rPr>
                <w:rFonts w:ascii="Arial" w:cs="Arial" w:eastAsia="Arial" w:hAnsi="Arial"/>
                <w:sz w:val="18"/>
                <w:szCs w:val="18"/>
                <w:color w:val="auto"/>
              </w:rPr>
              <w:t>101.CAL*</w:t>
            </w:r>
          </w:p>
        </w:tc>
        <w:tc>
          <w:tcPr>
            <w:tcW w:w="9300" w:type="dxa"/>
            <w:vAlign w:val="bottom"/>
            <w:gridSpan w:val="9"/>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324"/>
        </w:trPr>
        <w:tc>
          <w:tcPr>
            <w:tcW w:w="1840" w:type="dxa"/>
            <w:vAlign w:val="bottom"/>
            <w:gridSpan w:val="2"/>
          </w:tcPr>
          <w:p>
            <w:pPr>
              <w:ind w:left="120"/>
              <w:spacing w:after="0"/>
              <w:rPr>
                <w:sz w:val="20"/>
                <w:szCs w:val="20"/>
                <w:color w:val="auto"/>
              </w:rPr>
            </w:pPr>
            <w:r>
              <w:rPr>
                <w:rFonts w:ascii="Arial" w:cs="Arial" w:eastAsia="Arial" w:hAnsi="Arial"/>
                <w:sz w:val="18"/>
                <w:szCs w:val="18"/>
                <w:color w:val="auto"/>
              </w:rPr>
              <w:t>101.DEF*</w:t>
            </w:r>
          </w:p>
        </w:tc>
        <w:tc>
          <w:tcPr>
            <w:tcW w:w="9300" w:type="dxa"/>
            <w:vAlign w:val="bottom"/>
            <w:gridSpan w:val="9"/>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324"/>
        </w:trPr>
        <w:tc>
          <w:tcPr>
            <w:tcW w:w="1840" w:type="dxa"/>
            <w:vAlign w:val="bottom"/>
            <w:gridSpan w:val="2"/>
          </w:tcPr>
          <w:p>
            <w:pPr>
              <w:ind w:left="120"/>
              <w:spacing w:after="0"/>
              <w:rPr>
                <w:sz w:val="20"/>
                <w:szCs w:val="20"/>
                <w:color w:val="auto"/>
              </w:rPr>
            </w:pPr>
            <w:r>
              <w:rPr>
                <w:rFonts w:ascii="Arial" w:cs="Arial" w:eastAsia="Arial" w:hAnsi="Arial"/>
                <w:sz w:val="18"/>
                <w:szCs w:val="18"/>
                <w:color w:val="auto"/>
              </w:rPr>
              <w:t>101.LAB*</w:t>
            </w:r>
          </w:p>
        </w:tc>
        <w:tc>
          <w:tcPr>
            <w:tcW w:w="9300" w:type="dxa"/>
            <w:vAlign w:val="bottom"/>
            <w:gridSpan w:val="9"/>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324"/>
        </w:trPr>
        <w:tc>
          <w:tcPr>
            <w:tcW w:w="1840" w:type="dxa"/>
            <w:vAlign w:val="bottom"/>
            <w:gridSpan w:val="2"/>
          </w:tcPr>
          <w:p>
            <w:pPr>
              <w:ind w:left="120"/>
              <w:spacing w:after="0"/>
              <w:rPr>
                <w:sz w:val="20"/>
                <w:szCs w:val="20"/>
                <w:color w:val="auto"/>
              </w:rPr>
            </w:pPr>
            <w:r>
              <w:rPr>
                <w:rFonts w:ascii="Arial" w:cs="Arial" w:eastAsia="Arial" w:hAnsi="Arial"/>
                <w:sz w:val="18"/>
                <w:szCs w:val="18"/>
                <w:color w:val="auto"/>
              </w:rPr>
              <w:t>101.PRE*</w:t>
            </w:r>
          </w:p>
        </w:tc>
        <w:tc>
          <w:tcPr>
            <w:tcW w:w="9300" w:type="dxa"/>
            <w:vAlign w:val="bottom"/>
            <w:gridSpan w:val="9"/>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0" w:type="dxa"/>
            <w:vAlign w:val="bottom"/>
          </w:tcPr>
          <w:p>
            <w:pPr>
              <w:spacing w:after="0"/>
              <w:rPr>
                <w:sz w:val="1"/>
                <w:szCs w:val="1"/>
                <w:color w:val="auto"/>
              </w:rPr>
            </w:pPr>
          </w:p>
        </w:tc>
      </w:tr>
      <w:tr>
        <w:trPr>
          <w:trHeight w:val="324"/>
        </w:trPr>
        <w:tc>
          <w:tcPr>
            <w:tcW w:w="580" w:type="dxa"/>
            <w:vAlign w:val="bottom"/>
          </w:tcPr>
          <w:p>
            <w:pPr>
              <w:ind w:left="120"/>
              <w:spacing w:after="0"/>
              <w:rPr>
                <w:sz w:val="20"/>
                <w:szCs w:val="20"/>
                <w:color w:val="auto"/>
              </w:rPr>
            </w:pPr>
            <w:r>
              <w:rPr>
                <w:rFonts w:ascii="Arial" w:cs="Arial" w:eastAsia="Arial" w:hAnsi="Arial"/>
                <w:sz w:val="18"/>
                <w:szCs w:val="18"/>
                <w:color w:val="auto"/>
              </w:rPr>
              <w:t>104</w:t>
            </w:r>
          </w:p>
        </w:tc>
        <w:tc>
          <w:tcPr>
            <w:tcW w:w="1260" w:type="dxa"/>
            <w:vAlign w:val="bottom"/>
          </w:tcPr>
          <w:p>
            <w:pPr>
              <w:spacing w:after="0"/>
              <w:rPr>
                <w:sz w:val="24"/>
                <w:szCs w:val="24"/>
                <w:color w:val="auto"/>
              </w:rPr>
            </w:pPr>
          </w:p>
        </w:tc>
        <w:tc>
          <w:tcPr>
            <w:tcW w:w="9300" w:type="dxa"/>
            <w:vAlign w:val="bottom"/>
            <w:gridSpan w:val="9"/>
          </w:tcPr>
          <w:p>
            <w:pPr>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c>
          <w:tcPr>
            <w:tcW w:w="0" w:type="dxa"/>
            <w:vAlign w:val="bottom"/>
          </w:tcPr>
          <w:p>
            <w:pPr>
              <w:spacing w:after="0"/>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w:t>
      </w:r>
    </w:p>
    <w:p>
      <w:pPr>
        <w:spacing w:after="0" w:line="171" w:lineRule="exact"/>
        <w:rPr>
          <w:sz w:val="20"/>
          <w:szCs w:val="20"/>
          <w:color w:val="auto"/>
        </w:rPr>
      </w:pPr>
    </w:p>
    <w:p>
      <w:pPr>
        <w:ind w:left="280" w:hanging="272"/>
        <w:spacing w:after="0"/>
        <w:tabs>
          <w:tab w:leader="none" w:pos="2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Filed with this quarterly report on Form 10-Q are the following documents formatted in iXBRL (Inline Extensible Business Reporting Language):</w:t>
      </w:r>
    </w:p>
    <w:p>
      <w:pPr>
        <w:spacing w:after="0" w:line="34" w:lineRule="exact"/>
        <w:rPr>
          <w:rFonts w:ascii="Arial" w:cs="Arial" w:eastAsia="Arial" w:hAnsi="Arial"/>
          <w:sz w:val="17"/>
          <w:szCs w:val="17"/>
          <w:color w:val="auto"/>
        </w:rPr>
      </w:pPr>
    </w:p>
    <w:p>
      <w:pPr>
        <w:ind w:left="340" w:right="60" w:hanging="8"/>
        <w:spacing w:after="0" w:line="253" w:lineRule="auto"/>
        <w:tabs>
          <w:tab w:leader="none" w:pos="555" w:val="left"/>
        </w:tabs>
        <w:numPr>
          <w:ilvl w:val="1"/>
          <w:numId w:val="15"/>
        </w:numPr>
        <w:rPr>
          <w:rFonts w:ascii="Arial" w:cs="Arial" w:eastAsia="Arial" w:hAnsi="Arial"/>
          <w:sz w:val="18"/>
          <w:szCs w:val="18"/>
          <w:color w:val="auto"/>
        </w:rPr>
      </w:pPr>
      <w:r>
        <w:rPr>
          <w:rFonts w:ascii="Arial" w:cs="Arial" w:eastAsia="Arial" w:hAnsi="Arial"/>
          <w:sz w:val="18"/>
          <w:szCs w:val="18"/>
          <w:color w:val="auto"/>
        </w:rPr>
        <w:t>the Consolidated Statements of Income for the three and six months ended June 30, 2023 and 2022, (ii) the Consolidated Statements of Comprehensive Income for the three and six months ended June 30, 2023 and 2022, (iii) the Consolidated Balance Sheets at June 30, 2023 and December 31, 2022, (iv) the Consolidated Statements of Cash Flows for the six months ended June 30, 2023 and 2022, and (v)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539115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5" w:right="419" w:bottom="1440" w:gutter="0" w:footer="0" w:header="0"/>
        </w:sectPr>
      </w:pPr>
    </w:p>
    <w:bookmarkStart w:id="45" w:name="page46"/>
    <w:bookmarkEnd w:id="4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55"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7500" w:type="dxa"/>
            <w:vAlign w:val="bottom"/>
            <w:gridSpan w:val="2"/>
          </w:tcPr>
          <w:p>
            <w:pPr>
              <w:ind w:left="1960"/>
              <w:spacing w:after="0"/>
              <w:rPr>
                <w:sz w:val="20"/>
                <w:szCs w:val="20"/>
                <w:color w:val="auto"/>
              </w:rPr>
            </w:pPr>
            <w:r>
              <w:rPr>
                <w:rFonts w:ascii="Arial" w:cs="Arial" w:eastAsia="Arial" w:hAnsi="Arial"/>
                <w:sz w:val="18"/>
                <w:szCs w:val="18"/>
                <w:b w:val="1"/>
                <w:bCs w:val="1"/>
                <w:color w:val="auto"/>
              </w:rPr>
              <w:t>FISERV, INC.</w:t>
            </w:r>
          </w:p>
        </w:tc>
      </w:tr>
      <w:tr>
        <w:trPr>
          <w:trHeight w:val="499"/>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3120" w:type="dxa"/>
            <w:vAlign w:val="bottom"/>
          </w:tcPr>
          <w:p>
            <w:pPr>
              <w:ind w:left="180"/>
              <w:spacing w:after="0"/>
              <w:rPr>
                <w:sz w:val="20"/>
                <w:szCs w:val="20"/>
                <w:color w:val="auto"/>
              </w:rPr>
            </w:pPr>
            <w:r>
              <w:rPr>
                <w:rFonts w:ascii="Arial" w:cs="Arial" w:eastAsia="Arial" w:hAnsi="Arial"/>
                <w:sz w:val="18"/>
                <w:szCs w:val="18"/>
                <w:color w:val="auto"/>
              </w:rPr>
              <w:t>July 27, 2023</w:t>
            </w:r>
          </w:p>
        </w:tc>
        <w:tc>
          <w:tcPr>
            <w:tcW w:w="2760" w:type="dxa"/>
            <w:vAlign w:val="bottom"/>
          </w:tcPr>
          <w:p>
            <w:pPr>
              <w:ind w:left="1960"/>
              <w:spacing w:after="0"/>
              <w:rPr>
                <w:sz w:val="20"/>
                <w:szCs w:val="20"/>
                <w:color w:val="auto"/>
              </w:rPr>
            </w:pPr>
            <w:r>
              <w:rPr>
                <w:rFonts w:ascii="Arial" w:cs="Arial" w:eastAsia="Arial" w:hAnsi="Arial"/>
                <w:sz w:val="18"/>
                <w:szCs w:val="18"/>
                <w:color w:val="auto"/>
              </w:rPr>
              <w:t>By:</w:t>
            </w:r>
          </w:p>
        </w:tc>
        <w:tc>
          <w:tcPr>
            <w:tcW w:w="4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Robert W. Hau</w:t>
            </w:r>
          </w:p>
        </w:tc>
      </w:tr>
      <w:tr>
        <w:trPr>
          <w:trHeight w:val="224"/>
        </w:trPr>
        <w:tc>
          <w:tcPr>
            <w:tcW w:w="58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Robert W. Hau</w:t>
            </w:r>
          </w:p>
        </w:tc>
      </w:tr>
      <w:tr>
        <w:trPr>
          <w:trHeight w:val="242"/>
        </w:trPr>
        <w:tc>
          <w:tcPr>
            <w:tcW w:w="580" w:type="dxa"/>
            <w:vAlign w:val="bottom"/>
          </w:tcPr>
          <w:p>
            <w:pPr>
              <w:spacing w:after="0"/>
              <w:rPr>
                <w:sz w:val="21"/>
                <w:szCs w:val="21"/>
                <w:color w:val="auto"/>
              </w:rPr>
            </w:pPr>
          </w:p>
        </w:tc>
        <w:tc>
          <w:tcPr>
            <w:tcW w:w="3120" w:type="dxa"/>
            <w:vAlign w:val="bottom"/>
          </w:tcPr>
          <w:p>
            <w:pPr>
              <w:spacing w:after="0"/>
              <w:rPr>
                <w:sz w:val="21"/>
                <w:szCs w:val="21"/>
                <w:color w:val="auto"/>
              </w:rPr>
            </w:pPr>
          </w:p>
        </w:tc>
        <w:tc>
          <w:tcPr>
            <w:tcW w:w="2760" w:type="dxa"/>
            <w:vAlign w:val="bottom"/>
          </w:tcPr>
          <w:p>
            <w:pPr>
              <w:spacing w:after="0"/>
              <w:rPr>
                <w:sz w:val="21"/>
                <w:szCs w:val="21"/>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877"/>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3120" w:type="dxa"/>
            <w:vAlign w:val="bottom"/>
          </w:tcPr>
          <w:p>
            <w:pPr>
              <w:ind w:left="180"/>
              <w:spacing w:after="0"/>
              <w:rPr>
                <w:sz w:val="20"/>
                <w:szCs w:val="20"/>
                <w:color w:val="auto"/>
              </w:rPr>
            </w:pPr>
            <w:r>
              <w:rPr>
                <w:rFonts w:ascii="Arial" w:cs="Arial" w:eastAsia="Arial" w:hAnsi="Arial"/>
                <w:sz w:val="18"/>
                <w:szCs w:val="18"/>
                <w:color w:val="auto"/>
              </w:rPr>
              <w:t>July 27, 2023</w:t>
            </w:r>
          </w:p>
        </w:tc>
        <w:tc>
          <w:tcPr>
            <w:tcW w:w="2760" w:type="dxa"/>
            <w:vAlign w:val="bottom"/>
          </w:tcPr>
          <w:p>
            <w:pPr>
              <w:ind w:left="1960"/>
              <w:spacing w:after="0"/>
              <w:rPr>
                <w:sz w:val="20"/>
                <w:szCs w:val="20"/>
                <w:color w:val="auto"/>
              </w:rPr>
            </w:pPr>
            <w:r>
              <w:rPr>
                <w:rFonts w:ascii="Arial" w:cs="Arial" w:eastAsia="Arial" w:hAnsi="Arial"/>
                <w:sz w:val="18"/>
                <w:szCs w:val="18"/>
                <w:color w:val="auto"/>
              </w:rPr>
              <w:t>By:</w:t>
            </w:r>
          </w:p>
        </w:tc>
        <w:tc>
          <w:tcPr>
            <w:tcW w:w="4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Kenneth F. Best</w:t>
            </w:r>
          </w:p>
        </w:tc>
      </w:tr>
      <w:tr>
        <w:trPr>
          <w:trHeight w:val="224"/>
        </w:trPr>
        <w:tc>
          <w:tcPr>
            <w:tcW w:w="58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Kenneth F. Best</w:t>
            </w:r>
          </w:p>
        </w:tc>
      </w:tr>
      <w:tr>
        <w:trPr>
          <w:trHeight w:val="242"/>
        </w:trPr>
        <w:tc>
          <w:tcPr>
            <w:tcW w:w="580" w:type="dxa"/>
            <w:vAlign w:val="bottom"/>
          </w:tcPr>
          <w:p>
            <w:pPr>
              <w:spacing w:after="0"/>
              <w:rPr>
                <w:sz w:val="21"/>
                <w:szCs w:val="21"/>
                <w:color w:val="auto"/>
              </w:rPr>
            </w:pPr>
          </w:p>
        </w:tc>
        <w:tc>
          <w:tcPr>
            <w:tcW w:w="3120" w:type="dxa"/>
            <w:vAlign w:val="bottom"/>
          </w:tcPr>
          <w:p>
            <w:pPr>
              <w:spacing w:after="0"/>
              <w:rPr>
                <w:sz w:val="21"/>
                <w:szCs w:val="21"/>
                <w:color w:val="auto"/>
              </w:rPr>
            </w:pPr>
          </w:p>
        </w:tc>
        <w:tc>
          <w:tcPr>
            <w:tcW w:w="2760" w:type="dxa"/>
            <w:vAlign w:val="bottom"/>
          </w:tcPr>
          <w:p>
            <w:pPr>
              <w:spacing w:after="0"/>
              <w:rPr>
                <w:sz w:val="21"/>
                <w:szCs w:val="21"/>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Chief Accounting Officer</w:t>
            </w:r>
          </w:p>
        </w:tc>
      </w:tr>
    </w:tbl>
    <w:p>
      <w:pPr>
        <w:sectPr>
          <w:pgSz w:w="11900" w:h="16838" w:orient="portrait"/>
          <w:cols w:equalWidth="0" w:num="1">
            <w:col w:w="11220"/>
          </w:cols>
          <w:pgMar w:left="320" w:top="125" w:right="35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31.1</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 SECTION 302</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Frank J. Bisignano, certify that:</w:t>
      </w:r>
    </w:p>
    <w:p>
      <w:pPr>
        <w:spacing w:after="0" w:line="225"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Fiserv, Inc.;</w:t>
      </w:r>
    </w:p>
    <w:p>
      <w:pPr>
        <w:spacing w:after="0" w:line="225" w:lineRule="exact"/>
        <w:rPr>
          <w:rFonts w:ascii="Arial" w:cs="Arial" w:eastAsia="Arial" w:hAnsi="Arial"/>
          <w:sz w:val="18"/>
          <w:szCs w:val="18"/>
          <w:color w:val="auto"/>
        </w:rPr>
      </w:pPr>
    </w:p>
    <w:p>
      <w:pPr>
        <w:jc w:val="both"/>
        <w:ind w:left="660" w:right="120" w:hanging="328"/>
        <w:spacing w:after="0" w:line="263"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right="80" w:hanging="328"/>
        <w:spacing w:after="0" w:line="308" w:lineRule="auto"/>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660" w:right="140" w:hanging="328"/>
        <w:spacing w:after="0" w:line="263"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1300" w:right="120" w:hanging="320"/>
        <w:spacing w:after="0" w:line="263" w:lineRule="auto"/>
        <w:tabs>
          <w:tab w:leader="none" w:pos="13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1300" w:right="40" w:hanging="320"/>
        <w:spacing w:after="0" w:line="263" w:lineRule="auto"/>
        <w:tabs>
          <w:tab w:leader="none" w:pos="13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1300" w:right="220" w:hanging="320"/>
        <w:spacing w:after="0" w:line="342" w:lineRule="auto"/>
        <w:tabs>
          <w:tab w:leader="none" w:pos="1300" w:val="left"/>
        </w:tabs>
        <w:numPr>
          <w:ilvl w:val="1"/>
          <w:numId w:val="1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300" w:right="200" w:hanging="320"/>
        <w:spacing w:after="0" w:line="263" w:lineRule="auto"/>
        <w:tabs>
          <w:tab w:leader="none" w:pos="13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right="460" w:hanging="320"/>
        <w:spacing w:after="0" w:line="342" w:lineRule="auto"/>
        <w:tabs>
          <w:tab w:leader="none" w:pos="1300" w:val="left"/>
        </w:tabs>
        <w:numPr>
          <w:ilvl w:val="1"/>
          <w:numId w:val="1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300" w:right="140" w:hanging="320"/>
        <w:spacing w:after="0" w:line="277" w:lineRule="auto"/>
        <w:tabs>
          <w:tab w:leader="none" w:pos="13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81" w:lineRule="exact"/>
        <w:rPr>
          <w:sz w:val="20"/>
          <w:szCs w:val="20"/>
          <w:color w:val="auto"/>
        </w:rPr>
      </w:pPr>
    </w:p>
    <w:p>
      <w:pPr>
        <w:ind w:left="1120"/>
        <w:spacing w:after="0"/>
        <w:tabs>
          <w:tab w:leader="none" w:pos="4580" w:val="left"/>
          <w:tab w:leader="none" w:pos="5160" w:val="left"/>
        </w:tabs>
        <w:rPr>
          <w:sz w:val="20"/>
          <w:szCs w:val="20"/>
          <w:color w:val="auto"/>
        </w:rPr>
      </w:pPr>
      <w:r>
        <w:rPr>
          <w:rFonts w:ascii="Arial" w:cs="Arial" w:eastAsia="Arial" w:hAnsi="Arial"/>
          <w:sz w:val="18"/>
          <w:szCs w:val="18"/>
          <w:color w:val="auto"/>
        </w:rPr>
        <w:t>Date: July 27,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Frank J. Bisignano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3279775</wp:posOffset>
            </wp:positionH>
            <wp:positionV relativeFrom="paragraph">
              <wp:posOffset>40640</wp:posOffset>
            </wp:positionV>
            <wp:extent cx="232283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2">
                      <a:extLst>
                        <a:ext uri="{28A0092B-C50C-407E-A947-70E740481C1C}"/>
                      </a:extLst>
                    </a:blip>
                    <a:srcRect/>
                    <a:stretch>
                      <a:fillRect/>
                    </a:stretch>
                  </pic:blipFill>
                  <pic:spPr bwMode="auto">
                    <a:xfrm>
                      <a:off x="0" y="0"/>
                      <a:ext cx="2322830" cy="8255"/>
                    </a:xfrm>
                    <a:prstGeom prst="rect">
                      <a:avLst/>
                    </a:prstGeom>
                    <a:noFill/>
                  </pic:spPr>
                </pic:pic>
              </a:graphicData>
            </a:graphic>
          </wp:anchor>
        </w:drawing>
      </w:r>
    </w:p>
    <w:p>
      <w:pPr>
        <w:spacing w:after="0" w:line="57"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Frank J. Bisignano</w:t>
      </w:r>
    </w:p>
    <w:p>
      <w:pPr>
        <w:spacing w:after="0" w:line="23"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Chairman, President and Chief Executive Officer</w:t>
      </w:r>
    </w:p>
    <w:p>
      <w:pPr>
        <w:sectPr>
          <w:pgSz w:w="11900" w:h="16838" w:orient="portrait"/>
          <w:cols w:equalWidth="0" w:num="1">
            <w:col w:w="11240"/>
          </w:cols>
          <w:pgMar w:left="320" w:top="891" w:right="3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31.2</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 SECTION 302</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Robert W. Hau, certify that:</w:t>
      </w:r>
    </w:p>
    <w:p>
      <w:pPr>
        <w:spacing w:after="0" w:line="225"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Fiserv, Inc.;</w:t>
      </w:r>
    </w:p>
    <w:p>
      <w:pPr>
        <w:spacing w:after="0" w:line="225" w:lineRule="exact"/>
        <w:rPr>
          <w:rFonts w:ascii="Arial" w:cs="Arial" w:eastAsia="Arial" w:hAnsi="Arial"/>
          <w:sz w:val="18"/>
          <w:szCs w:val="18"/>
          <w:color w:val="auto"/>
        </w:rPr>
      </w:pPr>
    </w:p>
    <w:p>
      <w:pPr>
        <w:jc w:val="both"/>
        <w:ind w:left="660" w:right="120" w:hanging="328"/>
        <w:spacing w:after="0" w:line="263"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right="80" w:hanging="328"/>
        <w:spacing w:after="0" w:line="308" w:lineRule="auto"/>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660" w:right="140" w:hanging="328"/>
        <w:spacing w:after="0" w:line="263"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1300" w:right="120" w:hanging="320"/>
        <w:spacing w:after="0" w:line="263" w:lineRule="auto"/>
        <w:tabs>
          <w:tab w:leader="none" w:pos="13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1300" w:right="40" w:hanging="320"/>
        <w:spacing w:after="0" w:line="263" w:lineRule="auto"/>
        <w:tabs>
          <w:tab w:leader="none" w:pos="13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1300" w:right="220" w:hanging="320"/>
        <w:spacing w:after="0" w:line="342" w:lineRule="auto"/>
        <w:tabs>
          <w:tab w:leader="none" w:pos="1300" w:val="left"/>
        </w:tabs>
        <w:numPr>
          <w:ilvl w:val="1"/>
          <w:numId w:val="1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300" w:right="200" w:hanging="320"/>
        <w:spacing w:after="0" w:line="263" w:lineRule="auto"/>
        <w:tabs>
          <w:tab w:leader="none" w:pos="13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right="460" w:hanging="320"/>
        <w:spacing w:after="0" w:line="342" w:lineRule="auto"/>
        <w:tabs>
          <w:tab w:leader="none" w:pos="1300" w:val="left"/>
        </w:tabs>
        <w:numPr>
          <w:ilvl w:val="1"/>
          <w:numId w:val="1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300" w:right="140" w:hanging="320"/>
        <w:spacing w:after="0" w:line="277" w:lineRule="auto"/>
        <w:tabs>
          <w:tab w:leader="none" w:pos="13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81" w:lineRule="exact"/>
        <w:rPr>
          <w:sz w:val="20"/>
          <w:szCs w:val="20"/>
          <w:color w:val="auto"/>
        </w:rPr>
      </w:pPr>
    </w:p>
    <w:p>
      <w:pPr>
        <w:ind w:left="1120"/>
        <w:spacing w:after="0"/>
        <w:tabs>
          <w:tab w:leader="none" w:pos="4580" w:val="left"/>
          <w:tab w:leader="none" w:pos="5160" w:val="left"/>
        </w:tabs>
        <w:rPr>
          <w:sz w:val="20"/>
          <w:szCs w:val="20"/>
          <w:color w:val="auto"/>
        </w:rPr>
      </w:pPr>
      <w:r>
        <w:rPr>
          <w:rFonts w:ascii="Arial" w:cs="Arial" w:eastAsia="Arial" w:hAnsi="Arial"/>
          <w:sz w:val="18"/>
          <w:szCs w:val="18"/>
          <w:color w:val="auto"/>
        </w:rPr>
        <w:t>Date: July 27,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Robert W. Hau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3279775</wp:posOffset>
            </wp:positionH>
            <wp:positionV relativeFrom="paragraph">
              <wp:posOffset>40640</wp:posOffset>
            </wp:positionV>
            <wp:extent cx="232283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3">
                      <a:extLst>
                        <a:ext uri="{28A0092B-C50C-407E-A947-70E740481C1C}"/>
                      </a:extLst>
                    </a:blip>
                    <a:srcRect/>
                    <a:stretch>
                      <a:fillRect/>
                    </a:stretch>
                  </pic:blipFill>
                  <pic:spPr bwMode="auto">
                    <a:xfrm>
                      <a:off x="0" y="0"/>
                      <a:ext cx="2322830" cy="8255"/>
                    </a:xfrm>
                    <a:prstGeom prst="rect">
                      <a:avLst/>
                    </a:prstGeom>
                    <a:noFill/>
                  </pic:spPr>
                </pic:pic>
              </a:graphicData>
            </a:graphic>
          </wp:anchor>
        </w:drawing>
      </w:r>
    </w:p>
    <w:p>
      <w:pPr>
        <w:spacing w:after="0" w:line="57"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Robert W. Hau</w:t>
      </w:r>
    </w:p>
    <w:p>
      <w:pPr>
        <w:spacing w:after="0" w:line="23"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891" w:right="33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32.1</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1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connection with the Quarterly Report on Form 10-Q of Fiserv, Inc. (the “Company”) for the quarter ended June 30, 2023 as filed with the Securities and Exchange Commission on the date hereof (the “Report”), Frank J. Bisignano, as Chairman, President and Chief Executive Officer of the Company, and Robert W. Hau, as Chief Financial Officer of the Company, each hereby certify, pursuant to 18 U.S.C. § 1350, as adopted pursuant to § 906 of the Sarbanes-Oxley Act of 2002, that to the best of his knowledge:</w:t>
      </w:r>
    </w:p>
    <w:p>
      <w:pPr>
        <w:spacing w:after="0" w:line="106" w:lineRule="exact"/>
        <w:rPr>
          <w:sz w:val="20"/>
          <w:szCs w:val="20"/>
          <w:color w:val="auto"/>
        </w:rPr>
      </w:pPr>
    </w:p>
    <w:p>
      <w:pPr>
        <w:ind w:left="580" w:hanging="329"/>
        <w:spacing w:after="0"/>
        <w:tabs>
          <w:tab w:leader="none" w:pos="5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of the Securities Exchange Act of 1934; and</w:t>
      </w:r>
    </w:p>
    <w:p>
      <w:pPr>
        <w:spacing w:after="0" w:line="252" w:lineRule="exact"/>
        <w:rPr>
          <w:rFonts w:ascii="Arial" w:cs="Arial" w:eastAsia="Arial" w:hAnsi="Arial"/>
          <w:sz w:val="18"/>
          <w:szCs w:val="18"/>
          <w:color w:val="auto"/>
        </w:rPr>
      </w:pPr>
    </w:p>
    <w:p>
      <w:pPr>
        <w:ind w:left="580" w:hanging="329"/>
        <w:spacing w:after="0"/>
        <w:tabs>
          <w:tab w:leader="none" w:pos="5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86" w:lineRule="exact"/>
        <w:rPr>
          <w:sz w:val="20"/>
          <w:szCs w:val="20"/>
          <w:color w:val="auto"/>
        </w:rPr>
      </w:pPr>
    </w:p>
    <w:tbl>
      <w:tblPr>
        <w:tblLayout w:type="fixed"/>
        <w:tblInd w:w="6000" w:type="dxa"/>
        <w:tblCellMar>
          <w:top w:w="0" w:type="dxa"/>
          <w:left w:w="0" w:type="dxa"/>
          <w:bottom w:w="0" w:type="dxa"/>
          <w:right w:w="0" w:type="dxa"/>
        </w:tblCellMar>
      </w:tblPr>
      <w:tr>
        <w:trPr>
          <w:trHeight w:val="230"/>
        </w:trPr>
        <w:tc>
          <w:tcPr>
            <w:tcW w:w="900" w:type="dxa"/>
            <w:vAlign w:val="bottom"/>
          </w:tcPr>
          <w:p>
            <w:pPr>
              <w:spacing w:after="0"/>
              <w:rPr>
                <w:sz w:val="20"/>
                <w:szCs w:val="20"/>
                <w:color w:val="auto"/>
              </w:rPr>
            </w:pPr>
            <w:r>
              <w:rPr>
                <w:rFonts w:ascii="Arial" w:cs="Arial" w:eastAsia="Arial" w:hAnsi="Arial"/>
                <w:sz w:val="18"/>
                <w:szCs w:val="18"/>
                <w:color w:val="auto"/>
              </w:rPr>
              <w:t>By:</w:t>
            </w:r>
          </w:p>
        </w:tc>
        <w:tc>
          <w:tcPr>
            <w:tcW w:w="43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Frank J. Bisignano</w:t>
            </w:r>
          </w:p>
        </w:tc>
      </w:tr>
      <w:tr>
        <w:trPr>
          <w:trHeight w:val="222"/>
        </w:trPr>
        <w:tc>
          <w:tcPr>
            <w:tcW w:w="900" w:type="dxa"/>
            <w:vAlign w:val="bottom"/>
          </w:tcPr>
          <w:p>
            <w:pPr>
              <w:spacing w:after="0"/>
              <w:rPr>
                <w:sz w:val="19"/>
                <w:szCs w:val="19"/>
                <w:color w:val="auto"/>
              </w:rPr>
            </w:pPr>
          </w:p>
        </w:tc>
        <w:tc>
          <w:tcPr>
            <w:tcW w:w="4340" w:type="dxa"/>
            <w:vAlign w:val="bottom"/>
          </w:tcPr>
          <w:p>
            <w:pPr>
              <w:ind w:left="20"/>
              <w:spacing w:after="0"/>
              <w:rPr>
                <w:sz w:val="20"/>
                <w:szCs w:val="20"/>
                <w:color w:val="auto"/>
              </w:rPr>
            </w:pPr>
            <w:r>
              <w:rPr>
                <w:rFonts w:ascii="Arial" w:cs="Arial" w:eastAsia="Arial" w:hAnsi="Arial"/>
                <w:sz w:val="18"/>
                <w:szCs w:val="18"/>
                <w:color w:val="auto"/>
              </w:rPr>
              <w:t>Frank J. Bisignano</w:t>
            </w:r>
          </w:p>
        </w:tc>
      </w:tr>
      <w:tr>
        <w:trPr>
          <w:trHeight w:val="230"/>
        </w:trPr>
        <w:tc>
          <w:tcPr>
            <w:tcW w:w="900" w:type="dxa"/>
            <w:vAlign w:val="bottom"/>
          </w:tcPr>
          <w:p>
            <w:pPr>
              <w:spacing w:after="0"/>
              <w:rPr>
                <w:sz w:val="20"/>
                <w:szCs w:val="20"/>
                <w:color w:val="auto"/>
              </w:rPr>
            </w:pPr>
          </w:p>
        </w:tc>
        <w:tc>
          <w:tcPr>
            <w:tcW w:w="4340" w:type="dxa"/>
            <w:vAlign w:val="bottom"/>
          </w:tcPr>
          <w:p>
            <w:pPr>
              <w:ind w:left="20"/>
              <w:spacing w:after="0"/>
              <w:rPr>
                <w:sz w:val="20"/>
                <w:szCs w:val="20"/>
                <w:color w:val="auto"/>
              </w:rPr>
            </w:pPr>
            <w:r>
              <w:rPr>
                <w:rFonts w:ascii="Arial" w:cs="Arial" w:eastAsia="Arial" w:hAnsi="Arial"/>
                <w:sz w:val="18"/>
                <w:szCs w:val="18"/>
                <w:color w:val="auto"/>
              </w:rPr>
              <w:t>Chairman, President and Chief Executive Officer</w:t>
            </w:r>
          </w:p>
        </w:tc>
      </w:tr>
      <w:tr>
        <w:trPr>
          <w:trHeight w:val="243"/>
        </w:trPr>
        <w:tc>
          <w:tcPr>
            <w:tcW w:w="900" w:type="dxa"/>
            <w:vAlign w:val="bottom"/>
          </w:tcPr>
          <w:p>
            <w:pPr>
              <w:spacing w:after="0"/>
              <w:rPr>
                <w:sz w:val="21"/>
                <w:szCs w:val="21"/>
                <w:color w:val="auto"/>
              </w:rPr>
            </w:pPr>
          </w:p>
        </w:tc>
        <w:tc>
          <w:tcPr>
            <w:tcW w:w="4340" w:type="dxa"/>
            <w:vAlign w:val="bottom"/>
          </w:tcPr>
          <w:p>
            <w:pPr>
              <w:ind w:left="20"/>
              <w:spacing w:after="0"/>
              <w:rPr>
                <w:sz w:val="20"/>
                <w:szCs w:val="20"/>
                <w:color w:val="auto"/>
              </w:rPr>
            </w:pPr>
            <w:r>
              <w:rPr>
                <w:rFonts w:ascii="Arial" w:cs="Arial" w:eastAsia="Arial" w:hAnsi="Arial"/>
                <w:sz w:val="18"/>
                <w:szCs w:val="18"/>
                <w:color w:val="auto"/>
              </w:rPr>
              <w:t>July 27, 2023</w:t>
            </w:r>
          </w:p>
        </w:tc>
      </w:tr>
      <w:tr>
        <w:trPr>
          <w:trHeight w:val="864"/>
        </w:trPr>
        <w:tc>
          <w:tcPr>
            <w:tcW w:w="900" w:type="dxa"/>
            <w:vAlign w:val="bottom"/>
          </w:tcPr>
          <w:p>
            <w:pPr>
              <w:spacing w:after="0"/>
              <w:rPr>
                <w:sz w:val="20"/>
                <w:szCs w:val="20"/>
                <w:color w:val="auto"/>
              </w:rPr>
            </w:pPr>
            <w:r>
              <w:rPr>
                <w:rFonts w:ascii="Arial" w:cs="Arial" w:eastAsia="Arial" w:hAnsi="Arial"/>
                <w:sz w:val="18"/>
                <w:szCs w:val="18"/>
                <w:color w:val="auto"/>
              </w:rPr>
              <w:t>By:</w:t>
            </w:r>
          </w:p>
        </w:tc>
        <w:tc>
          <w:tcPr>
            <w:tcW w:w="43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Robert W. Hau</w:t>
            </w:r>
          </w:p>
        </w:tc>
      </w:tr>
      <w:tr>
        <w:trPr>
          <w:trHeight w:val="222"/>
        </w:trPr>
        <w:tc>
          <w:tcPr>
            <w:tcW w:w="900" w:type="dxa"/>
            <w:vAlign w:val="bottom"/>
          </w:tcPr>
          <w:p>
            <w:pPr>
              <w:spacing w:after="0"/>
              <w:rPr>
                <w:sz w:val="19"/>
                <w:szCs w:val="19"/>
                <w:color w:val="auto"/>
              </w:rPr>
            </w:pPr>
          </w:p>
        </w:tc>
        <w:tc>
          <w:tcPr>
            <w:tcW w:w="4340" w:type="dxa"/>
            <w:vAlign w:val="bottom"/>
          </w:tcPr>
          <w:p>
            <w:pPr>
              <w:ind w:left="20"/>
              <w:spacing w:after="0"/>
              <w:rPr>
                <w:sz w:val="20"/>
                <w:szCs w:val="20"/>
                <w:color w:val="auto"/>
              </w:rPr>
            </w:pPr>
            <w:r>
              <w:rPr>
                <w:rFonts w:ascii="Arial" w:cs="Arial" w:eastAsia="Arial" w:hAnsi="Arial"/>
                <w:sz w:val="18"/>
                <w:szCs w:val="18"/>
                <w:color w:val="auto"/>
              </w:rPr>
              <w:t>Robert W. Hau</w:t>
            </w:r>
          </w:p>
        </w:tc>
      </w:tr>
      <w:tr>
        <w:trPr>
          <w:trHeight w:val="230"/>
        </w:trPr>
        <w:tc>
          <w:tcPr>
            <w:tcW w:w="900" w:type="dxa"/>
            <w:vAlign w:val="bottom"/>
          </w:tcPr>
          <w:p>
            <w:pPr>
              <w:spacing w:after="0"/>
              <w:rPr>
                <w:sz w:val="20"/>
                <w:szCs w:val="20"/>
                <w:color w:val="auto"/>
              </w:rPr>
            </w:pPr>
          </w:p>
        </w:tc>
        <w:tc>
          <w:tcPr>
            <w:tcW w:w="434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243"/>
        </w:trPr>
        <w:tc>
          <w:tcPr>
            <w:tcW w:w="900" w:type="dxa"/>
            <w:vAlign w:val="bottom"/>
          </w:tcPr>
          <w:p>
            <w:pPr>
              <w:spacing w:after="0"/>
              <w:rPr>
                <w:sz w:val="21"/>
                <w:szCs w:val="21"/>
                <w:color w:val="auto"/>
              </w:rPr>
            </w:pPr>
          </w:p>
        </w:tc>
        <w:tc>
          <w:tcPr>
            <w:tcW w:w="4340" w:type="dxa"/>
            <w:vAlign w:val="bottom"/>
          </w:tcPr>
          <w:p>
            <w:pPr>
              <w:ind w:left="20"/>
              <w:spacing w:after="0"/>
              <w:rPr>
                <w:sz w:val="20"/>
                <w:szCs w:val="20"/>
                <w:color w:val="auto"/>
              </w:rPr>
            </w:pPr>
            <w:r>
              <w:rPr>
                <w:rFonts w:ascii="Arial" w:cs="Arial" w:eastAsia="Arial" w:hAnsi="Arial"/>
                <w:sz w:val="18"/>
                <w:szCs w:val="18"/>
                <w:color w:val="auto"/>
              </w:rPr>
              <w:t>July 27, 2023</w:t>
            </w:r>
          </w:p>
        </w:tc>
      </w:tr>
    </w:tbl>
    <w:p>
      <w:pPr>
        <w:spacing w:after="0" w:line="1" w:lineRule="exact"/>
        <w:rPr>
          <w:sz w:val="20"/>
          <w:szCs w:val="20"/>
          <w:color w:val="auto"/>
        </w:rPr>
      </w:pP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1)"/>
      <w:numFmt w:val="decimal"/>
      <w:start w:val="1"/>
    </w:lvl>
  </w:abstractNum>
  <w:abstractNum w:abstractNumId="3">
    <w:nsid w:val="1F16E9E8"/>
    <w:multiLevelType w:val="hybridMultilevel"/>
    <w:lvl w:ilvl="0">
      <w:lvlJc w:val="left"/>
      <w:lvlText w:val="(%1)"/>
      <w:numFmt w:val="decimal"/>
      <w:start w:val="1"/>
    </w:lvl>
  </w:abstractNum>
  <w:abstractNum w:abstractNumId="4">
    <w:nsid w:val="1190CDE7"/>
    <w:multiLevelType w:val="hybridMultilevel"/>
    <w:lvl w:ilvl="0">
      <w:lvlJc w:val="left"/>
      <w:lvlText w:val="(%1)"/>
      <w:numFmt w:val="decimal"/>
      <w:start w:val="1"/>
    </w:lvl>
  </w:abstractNum>
  <w:abstractNum w:abstractNumId="5">
    <w:nsid w:val="66EF438D"/>
    <w:multiLevelType w:val="hybridMultilevel"/>
    <w:lvl w:ilvl="0">
      <w:lvlJc w:val="left"/>
      <w:lvlText w:val="(%1)"/>
      <w:numFmt w:val="decimal"/>
      <w:start w:val="1"/>
    </w:lvl>
  </w:abstractNum>
  <w:abstractNum w:abstractNumId="6">
    <w:nsid w:val="140E0F76"/>
    <w:multiLevelType w:val="hybridMultilevel"/>
    <w:lvl w:ilvl="0">
      <w:lvlJc w:val="left"/>
      <w:lvlText w:val="(%1)"/>
      <w:numFmt w:val="decimal"/>
      <w:start w:val="1"/>
    </w:lvl>
  </w:abstractNum>
  <w:abstractNum w:abstractNumId="7">
    <w:nsid w:val="3352255A"/>
    <w:multiLevelType w:val="hybridMultilevel"/>
    <w:lvl w:ilvl="0">
      <w:lvlJc w:val="left"/>
      <w:lvlText w:val="•"/>
      <w:numFmt w:val="bullet"/>
      <w:start w:val="1"/>
    </w:lvl>
  </w:abstractNum>
  <w:abstractNum w:abstractNumId="8">
    <w:nsid w:val="109CF92E"/>
    <w:multiLevelType w:val="hybridMultilevel"/>
    <w:lvl w:ilvl="0">
      <w:lvlJc w:val="left"/>
      <w:lvlText w:val="(%1)"/>
      <w:numFmt w:val="decimal"/>
      <w:start w:val="1"/>
    </w:lvl>
  </w:abstractNum>
  <w:abstractNum w:abstractNumId="9">
    <w:nsid w:val="DED7263"/>
    <w:multiLevelType w:val="hybridMultilevel"/>
    <w:lvl w:ilvl="0">
      <w:lvlJc w:val="left"/>
      <w:lvlText w:val="(%1)"/>
      <w:numFmt w:val="decimal"/>
      <w:start w:val="1"/>
    </w:lvl>
  </w:abstractNum>
  <w:abstractNum w:abstractNumId="10">
    <w:nsid w:val="7FDCC233"/>
    <w:multiLevelType w:val="hybridMultilevel"/>
    <w:lvl w:ilvl="0">
      <w:lvlJc w:val="left"/>
      <w:lvlText w:val="(%1)"/>
      <w:numFmt w:val="decimal"/>
      <w:start w:val="1"/>
    </w:lvl>
  </w:abstractNum>
  <w:abstractNum w:abstractNumId="11">
    <w:nsid w:val="1BEFD79F"/>
    <w:multiLevelType w:val="hybridMultilevel"/>
    <w:lvl w:ilvl="0">
      <w:lvlJc w:val="left"/>
      <w:lvlText w:val="(%1)"/>
      <w:numFmt w:val="decimal"/>
      <w:start w:val="1"/>
    </w:lvl>
  </w:abstractNum>
  <w:abstractNum w:abstractNumId="12">
    <w:nsid w:val="41A7C4C9"/>
    <w:multiLevelType w:val="hybridMultilevel"/>
    <w:lvl w:ilvl="0">
      <w:lvlJc w:val="left"/>
      <w:lvlText w:val="(%1)"/>
      <w:numFmt w:val="decimal"/>
      <w:start w:val="1"/>
    </w:lvl>
  </w:abstractNum>
  <w:abstractNum w:abstractNumId="13">
    <w:nsid w:val="6B68079A"/>
    <w:multiLevelType w:val="hybridMultilevel"/>
    <w:lvl w:ilvl="0">
      <w:lvlJc w:val="left"/>
      <w:lvlText w:val="(%1)"/>
      <w:numFmt w:val="decimal"/>
      <w:start w:val="1"/>
    </w:lvl>
  </w:abstractNum>
  <w:abstractNum w:abstractNumId="14">
    <w:nsid w:val="4E6AFB66"/>
    <w:multiLevelType w:val="hybridMultilevel"/>
    <w:lvl w:ilvl="0">
      <w:lvlJc w:val="left"/>
      <w:lvlText w:val="*"/>
      <w:numFmt w:val="bullet"/>
      <w:start w:val="1"/>
    </w:lvl>
    <w:lvl w:ilvl="1">
      <w:lvlJc w:val="left"/>
      <w:lvlText w:val="(%2)"/>
      <w:numFmt w:val="lowerRoman"/>
      <w:start w:val="1"/>
    </w:lvl>
  </w:abstractNum>
  <w:abstractNum w:abstractNumId="15">
    <w:nsid w:val="25E45D32"/>
    <w:multiLevelType w:val="hybridMultilevel"/>
    <w:lvl w:ilvl="0">
      <w:lvlJc w:val="left"/>
      <w:lvlText w:val="%1."/>
      <w:numFmt w:val="decimal"/>
      <w:start w:val="1"/>
    </w:lvl>
    <w:lvl w:ilvl="1">
      <w:lvlJc w:val="left"/>
      <w:lvlText w:val="%2)"/>
      <w:numFmt w:val="lowerLetter"/>
      <w:start w:val="1"/>
    </w:lvl>
  </w:abstractNum>
  <w:abstractNum w:abstractNumId="16">
    <w:nsid w:val="519B500D"/>
    <w:multiLevelType w:val="hybridMultilevel"/>
    <w:lvl w:ilvl="0">
      <w:lvlJc w:val="left"/>
      <w:lvlText w:val="%1."/>
      <w:numFmt w:val="decimal"/>
      <w:start w:val="1"/>
    </w:lvl>
    <w:lvl w:ilvl="1">
      <w:lvlJc w:val="left"/>
      <w:lvlText w:val="%2)"/>
      <w:numFmt w:val="lowerLetter"/>
      <w:start w:val="1"/>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81" Type="http://schemas.openxmlformats.org/officeDocument/2006/relationships/image" Target="media/image72.png"/><Relationship Id="rId82" Type="http://schemas.openxmlformats.org/officeDocument/2006/relationships/image" Target="media/image73.png"/><Relationship Id="rId83" Type="http://schemas.openxmlformats.org/officeDocument/2006/relationships/image" Target="media/image74.png"/><Relationship Id="rId79" Type="http://schemas.openxmlformats.org/officeDocument/2006/relationships/hyperlink" Target="http://www.sec.gov/Archives/edgar/data/798354/000119312523153026/d504361dex41.htm" TargetMode="External"/><Relationship Id="rId80" Type="http://schemas.openxmlformats.org/officeDocument/2006/relationships/hyperlink" Target="http://www.sec.gov/Archives/edgar/data/798354/000119312523153026/d504361dex4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2023-07-27T07:00:11Z</dcterms:created>
  <dcterms:modified xsi:type="dcterms:W3CDTF">2023-07-27T07:00:11Z</dcterms:modified>
</cp:coreProperties>
</file>