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20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8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255 Fiserv Drive, Brookfield, WI 53045</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FISV</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0.375% Senior Notes due 2023</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2.250% Senior Notes due 2025</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47" w:lineRule="exact"/>
        <w:rPr>
          <w:sz w:val="24"/>
          <w:szCs w:val="24"/>
          <w:color w:val="auto"/>
        </w:rPr>
      </w:pPr>
    </w:p>
    <w:p>
      <w:pPr>
        <w:ind w:right="120"/>
        <w:spacing w:after="0" w:line="24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575310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601345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09"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22, 2022, there were 639,584,348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334645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360045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6460" w:type="dxa"/>
            <w:vAlign w:val="bottom"/>
            <w:gridSpan w:val="7"/>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53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tcPr>
          <w:p>
            <w:pPr>
              <w:spacing w:after="0"/>
              <w:rPr>
                <w:sz w:val="18"/>
                <w:szCs w:val="18"/>
                <w:color w:val="auto"/>
              </w:rPr>
            </w:pP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80" w:type="dxa"/>
            <w:vAlign w:val="bottom"/>
            <w:gridSpan w:val="11"/>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00" w:type="dxa"/>
            <w:vAlign w:val="bottom"/>
            <w:tcBorders>
              <w:top w:val="single" w:sz="8" w:color="0000FF"/>
            </w:tcBorders>
          </w:tcPr>
          <w:p>
            <w:pPr>
              <w:spacing w:after="0"/>
              <w:rPr>
                <w:sz w:val="24"/>
                <w:szCs w:val="24"/>
                <w:color w:val="auto"/>
              </w:rPr>
            </w:pPr>
          </w:p>
        </w:tc>
        <w:tc>
          <w:tcPr>
            <w:tcW w:w="762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0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26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product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assets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8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42"/>
        </w:trPr>
        <w:tc>
          <w:tcPr>
            <w:tcW w:w="528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Income before income taxes and income from investments in unconsolidated</w:t>
            </w:r>
          </w:p>
        </w:tc>
        <w:tc>
          <w:tcPr>
            <w:tcW w:w="8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1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affiliates</w:t>
            </w:r>
          </w:p>
        </w:tc>
        <w:tc>
          <w:tcPr>
            <w:tcW w:w="8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from investments in unconsolidated affiliates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162"/>
        </w:trPr>
        <w:tc>
          <w:tcPr>
            <w:tcW w:w="52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Less: net income attributable to noncontrolling interests and redeemable</w:t>
            </w:r>
          </w:p>
        </w:tc>
        <w:tc>
          <w:tcPr>
            <w:tcW w:w="8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 per share – basic</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Fiserv, Inc. per share – diluted</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Shares used in computing net income attributable to Fiserv, Inc. per share:</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w:t>
            </w:r>
          </w:p>
        </w:tc>
        <w:tc>
          <w:tcPr>
            <w:tcW w:w="0" w:type="dxa"/>
            <w:vAlign w:val="bottom"/>
          </w:tcPr>
          <w:p>
            <w:pPr>
              <w:spacing w:after="0"/>
              <w:rPr>
                <w:sz w:val="1"/>
                <w:szCs w:val="1"/>
                <w:color w:val="auto"/>
              </w:rPr>
            </w:pPr>
          </w:p>
        </w:tc>
      </w:tr>
      <w:tr>
        <w:trPr>
          <w:trHeight w:val="210"/>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hanging="328"/>
        <w:spacing w:after="0" w:line="225"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$50 million and $56 million for the three months ended June 30, 2022 and 2021, respectively, and $100 million and $114 million for the six months ended June 30, 2022 and 2021, respectively (see Note 18).</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190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Fair market value adjustment on cash flow hedges, net of income tax benefit (provision) of</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 million, $0 million, $2 million and ($0 million)</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4"/>
        </w:trPr>
        <w:tc>
          <w:tcPr>
            <w:tcW w:w="6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gains on cash flow hedges included in cost of</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processing and services, net of income tax provision of $0 million, $0 million, $0</w:t>
            </w:r>
          </w:p>
        </w:tc>
        <w:tc>
          <w:tcPr>
            <w:tcW w:w="22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million and $1 million</w:t>
            </w: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480"/>
              <w:spacing w:after="0" w:line="181" w:lineRule="exact"/>
              <w:rPr>
                <w:sz w:val="20"/>
                <w:szCs w:val="20"/>
                <w:color w:val="auto"/>
              </w:rPr>
            </w:pPr>
            <w:r>
              <w:rPr>
                <w:rFonts w:ascii="Times New Roman" w:cs="Times New Roman" w:eastAsia="Times New Roman" w:hAnsi="Times New Roman"/>
                <w:sz w:val="18"/>
                <w:szCs w:val="18"/>
                <w:color w:val="auto"/>
              </w:rPr>
              <w:t>interest expense, net of income tax benefit of $1 million, $1 million, $2 million and $2</w:t>
            </w: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million</w:t>
            </w: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Unrealized (loss) gain on defined benefit pension plans, net of income tax benefit</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of $1 million, $0 million, $1 million and ($0 million)</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 of income tax (see Note 12)</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184"/>
        </w:trPr>
        <w:tc>
          <w:tcPr>
            <w:tcW w:w="6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 noncontrolling</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other comprehensive (loss)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8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78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assets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13,652</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36,829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costs, net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77,212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76,249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840" w:type="dxa"/>
            <w:vAlign w:val="bottom"/>
            <w:shd w:val="clear" w:color="auto" w:fill="CCEEFF"/>
          </w:tcPr>
          <w:p>
            <w:pPr>
              <w:ind w:left="31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obligations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13,652</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19,351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20,729</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45,242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44,299</w:t>
            </w: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17)</w:t>
            </w: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23,010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22,983</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14,846</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at cost, 141 million and 134 million shares</w:t>
            </w: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(6,140)</w:t>
            </w:r>
          </w:p>
        </w:tc>
      </w:tr>
      <w:tr>
        <w:trPr>
          <w:trHeight w:val="212"/>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1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31,109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30,952</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w:t>
            </w:r>
          </w:p>
        </w:tc>
        <w:tc>
          <w:tcPr>
            <w:tcW w:w="1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31,809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31,672</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77,212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76,249</w:t>
            </w:r>
          </w:p>
        </w:tc>
      </w:tr>
      <w:tr>
        <w:trPr>
          <w:trHeight w:val="23"/>
        </w:trPr>
        <w:tc>
          <w:tcPr>
            <w:tcW w:w="7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Fiserv, Inc.</w:t>
      </w:r>
    </w:p>
    <w:p>
      <w:pPr>
        <w:jc w:val="center"/>
        <w:ind w:right="-39"/>
        <w:spacing w:after="0" w:line="206"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10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3"/>
        </w:trPr>
        <w:tc>
          <w:tcPr>
            <w:tcW w:w="78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78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9"/>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acquisition of businesses, net of cash acquired</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repayments, including debt financing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(repayments of) commercial paper and short-term borrowings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and redeemable noncontrolling interests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w:t>
            </w:r>
          </w:p>
        </w:tc>
      </w:tr>
      <w:tr>
        <w:trPr>
          <w:trHeight w:val="23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660" w:right="80" w:hanging="328"/>
        <w:spacing w:after="0" w:line="230" w:lineRule="auto"/>
        <w:tabs>
          <w:tab w:leader="none" w:pos="622"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revised, for comparable purposes with the current period’s presentation, the consolidated statement of cash flows presentation for the six months ended June 30, 2021 to include cash and cash equivalents within settlement assets as a component of total cash and cash equivalents. Additional information is included in Note 1.</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and six months ended June 30, 2022 and 2021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maintains a majority controlling financial interest in certain entities, mostly related to consolidated merchant alliances (see Note 18).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 The Company continues to monitor and assess the impact of the COVID-19 pandemic on its consolidated financial statements and has determined that there have been no material changes to date as a result of the COVID-19 pandemic on the estimates and assumptions made by management. The Company will continue to monitor developments related to the COVID-19 pandemic; however, the extent to which the COVID-19 pandemic may impact the Company's future operational and financial performance remains uncertain and difficult to predict.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sheets. Cash and cash equivalents held on behalf of merchants and other payees are included in settlement assets in the consolidated balance sheets.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 at: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Pr>
          <w:p>
            <w:pPr>
              <w:spacing w:after="0"/>
              <w:rPr>
                <w:sz w:val="17"/>
                <w:szCs w:val="17"/>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311"/>
        </w:trPr>
        <w:tc>
          <w:tcPr>
            <w:tcW w:w="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2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96"/>
        </w:trPr>
        <w:tc>
          <w:tcPr>
            <w:tcW w:w="20" w:type="dxa"/>
            <w:vAlign w:val="bottom"/>
          </w:tcPr>
          <w:p>
            <w:pPr>
              <w:spacing w:after="0"/>
              <w:rPr>
                <w:sz w:val="17"/>
                <w:szCs w:val="17"/>
                <w:color w:val="auto"/>
              </w:rPr>
            </w:pPr>
          </w:p>
        </w:tc>
        <w:tc>
          <w:tcPr>
            <w:tcW w:w="536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 cash</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flows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revised the consolidated statement of cash flows for the six months ended June 30, 2021 to reflect settlement cash and cash equivalents within settlement assets as a component of total cash and cash equivalents on the consolidated statement of cash flows. The changes in settlement cash and cash equivalents for the six months ended June 30, 2022 and 2021 of ($189) million and $166 million, respectively, have been included in settlement activity, net within cash flows from financing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$47 million and $55 million at June 30, 2022 and December 31, 2021,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Settlement assets and obligations result from timing differences between collection and fulfillment of payment transactions and collateral amounts held to manage merchant credit risk, primarily associated with the Company’s merchant acquiring services. Settlement assets represent cash received or amounts receivable from agents, payment networks, bank partners, merchants or directly from consumers. Settlement obligations represent amounts payable to merchants and payees. Certain merchant settlement asset receivables that relate to settlement obligations are held by partner banks to which the Company does not have legal ownership but has the right to use the assets to satisfy the related settlement obligations. The Company records settlement obligations for amounts payable to merchants and for outstanding payment instruments issued to payees that have not yet been presented for settlement.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 certain merchants to minimize this obligation. Collateral held by the Company, or funds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some level of losses due to merchant defaults.</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aggregate merchant credit loss expense, recognized by the Company within cost of processing and services in the consolidated statements of income, was $20 million and $11 million for the three months ended June 30, 2022 and 2021, respectively, and $28 million and $33 million for the six months ended June 30, 2022 and 2021, respectively. The amount of collateral available to the Company was $2.1 billion and $2.2 billion at June 30, 2022 and December 31, 2021, respectively. The Company maintains an allowance for merchant credit losses that are expected to exceed the amount of merchant collateral.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relevant factors such as changes in economic conditions or increases in merchant fraud. The aggregate merchant credit loss allowance was $30 million and $42 million at June 30, 2022 and December 31, 2021,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The Company’s most recent annual impairment assessment of its reporting units in the fourth quarter of 2021 determined that its goodwill was not impaired as the estimated fair values exceeded the carrying values. However, it is reasonably possible that future developments related to the interest rate environment, the economic impact of the COVID-19 pandemic or changes in significant assumptions used in the quantitative test on certain of the Company’s reporting units (such as an increase in risk-adjusted discount rates) could have a future material impact on one or more of the estimates and assumptions used to evaluate goodwill impairment. There is no accumulated goodwill impairment for the Company through June 30,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investments, of which it does not have significant influence, in various equity securities without a readily determinable fair value. Such investments totaled $116 million and $113 million at June 30, 2022 and December 31, 2021,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income in the consolidated statement of income for the period. During the six months ended June 30, 2021, the Company remeasured its equity interest in Ondot Systems, Inc. (“Ondot”) to fair value upon acquiring a remaining ownership interest, resulting in the recognition of a pre-tax gain of $12 million (see Note 4). Other adjustments made to the values recorded for certain equity securities and gains and losses from sales of equity securities during the three and six months ended June 30, 2022 and 2021, were not significant.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48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106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311"/>
        </w:trPr>
        <w:tc>
          <w:tcPr>
            <w:tcW w:w="2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2022, the Financial Accounting Standards Board (“FASB”) issued Accounting Standards Update (“ASU”) No. 2022-03, </w:t>
      </w:r>
      <w:r>
        <w:rPr>
          <w:rFonts w:ascii="Times New Roman" w:cs="Times New Roman" w:eastAsia="Times New Roman" w:hAnsi="Times New Roman"/>
          <w:sz w:val="18"/>
          <w:szCs w:val="18"/>
          <w:i w:val="1"/>
          <w:iCs w:val="1"/>
          <w:color w:val="auto"/>
        </w:rPr>
        <w:t>Fair Value Measurement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 of Equity Securities Subject to Contractual Sale Restrictions </w:t>
      </w:r>
      <w:r>
        <w:rPr>
          <w:rFonts w:ascii="Times New Roman" w:cs="Times New Roman" w:eastAsia="Times New Roman" w:hAnsi="Times New Roman"/>
          <w:sz w:val="18"/>
          <w:szCs w:val="18"/>
          <w:color w:val="auto"/>
        </w:rPr>
        <w:t>(“ASU 2022-03”), which clarifies the guidance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Codification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For public entities, ASU 2022-03 is effective for fiscal years beginning after December 15, 2023, including interim periods within those fiscal years. The provisions within ASU 2022-03 are to be applied prospectively with any adjustments from the adoption recognized in earnings and disclosed on the date of adoption. The Company is currently assessing the impact the adoption of ASU 2022-03 will have on its consolidated financial statements and disclosures.</w:t>
      </w:r>
    </w:p>
    <w:p>
      <w:pPr>
        <w:spacing w:after="0" w:line="13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2022, the FASB issued ASU No. 2022-02, </w:t>
      </w:r>
      <w:r>
        <w:rPr>
          <w:rFonts w:ascii="Times New Roman" w:cs="Times New Roman" w:eastAsia="Times New Roman" w:hAnsi="Times New Roman"/>
          <w:sz w:val="18"/>
          <w:szCs w:val="18"/>
          <w:i w:val="1"/>
          <w:iCs w:val="1"/>
          <w:color w:val="auto"/>
        </w:rPr>
        <w:t>Financial Instruments – Credit Losses (Topic 326): Troubled Debt Restructurings and Vintage Disclosures</w:t>
      </w:r>
      <w:r>
        <w:rPr>
          <w:rFonts w:ascii="Times New Roman" w:cs="Times New Roman" w:eastAsia="Times New Roman" w:hAnsi="Times New Roman"/>
          <w:sz w:val="18"/>
          <w:szCs w:val="18"/>
          <w:color w:val="auto"/>
        </w:rPr>
        <w:t xml:space="preserve"> (“ASU 2022-02”), which among other items, requires that entities disclose current period gross write-offs by year of origination for financing receivables and net investments in leases. For public entities, the provisions within ASU 2022-02 are to be applied prospectively and are effective for fiscal years beginning after December 15, 2022, including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interim periods within those fiscal years. The Company will adopt the additional disclosures, as applicable, for any write-offs reflected in its consolidated financial statements effective for the year ending December 31, 2023.</w:t>
      </w:r>
    </w:p>
    <w:p>
      <w:pPr>
        <w:spacing w:after="0" w:line="106"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 xml:space="preserve">In 2021, the FASB issued ASU No. 2021-10, </w:t>
      </w:r>
      <w:r>
        <w:rPr>
          <w:rFonts w:ascii="Times New Roman" w:cs="Times New Roman" w:eastAsia="Times New Roman" w:hAnsi="Times New Roman"/>
          <w:sz w:val="18"/>
          <w:szCs w:val="18"/>
          <w:i w:val="1"/>
          <w:iCs w:val="1"/>
          <w:color w:val="auto"/>
        </w:rPr>
        <w:t>Government Assistance (Topic 832)</w:t>
      </w:r>
      <w:r>
        <w:rPr>
          <w:rFonts w:ascii="Times New Roman" w:cs="Times New Roman" w:eastAsia="Times New Roman" w:hAnsi="Times New Roman"/>
          <w:sz w:val="18"/>
          <w:szCs w:val="18"/>
          <w:color w:val="auto"/>
        </w:rPr>
        <w:t xml:space="preserve"> (“ASU 2021-10”), which requires that an entity provide certain disclosures in its annual financial statements about transactions with a government that are accounted for by applying a grant or contribution accounting model by analogy. ASU 2021-10 is effective for all business entities for annual periods beginning after December 15, 2021 and may be applied either prospectively or retrospectively to the transactions reflected in the financial statements at the date of initial application. The Company will adopt the additional disclosures prospectively, as applicable, to the transactions reflected in its consolidated financial statements for the year ending December 31, 2022.</w:t>
      </w:r>
    </w:p>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2021, the FASB issued ASU No. 2021-08, </w:t>
      </w:r>
      <w:r>
        <w:rPr>
          <w:rFonts w:ascii="Times New Roman" w:cs="Times New Roman" w:eastAsia="Times New Roman" w:hAnsi="Times New Roman"/>
          <w:sz w:val="18"/>
          <w:szCs w:val="18"/>
          <w:i w:val="1"/>
          <w:iCs w:val="1"/>
          <w:color w:val="auto"/>
        </w:rPr>
        <w:t>Accounting for Contract Assets and Contract Liabilities from Contracts with Customers</w:t>
      </w:r>
      <w:r>
        <w:rPr>
          <w:rFonts w:ascii="Times New Roman" w:cs="Times New Roman" w:eastAsia="Times New Roman" w:hAnsi="Times New Roman"/>
          <w:sz w:val="18"/>
          <w:szCs w:val="18"/>
          <w:color w:val="auto"/>
        </w:rPr>
        <w:t xml:space="preserve"> (“ASU 2021-08”), which requires that an entity recognize and measure contract assets and contract liabilities acquired in a business combination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Generally, this should result in recognition and measurement of contract assets and contract liabilities at carryover value consistent with how they were recognized and measured in the acquiree’s financial statements, providing consistent recognition and enhanced comparability with revenue contracts with customers not acquired in a business combination. Prior to adoption of ASU 2021-08, an acquirer generally recognized contract assets and contract liabilities acquired in a business combination at fair value on the acquisition date. For public entities, ASU 2021-08 is effective for fiscal years beginning after December 15, 2022, including interim periods within those fiscal years. Early adoption is permitted, including adoption in an interim period. Entities are required to apply a prospective transition approach upon adoption, unless early adoption occurs in an interim period. The Company adopted ASU 2021-08 effective January 1, 2022, with prospective application to business combinations occurring after adoption.</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2021, the FASB issued ASU No. 2021-05, </w:t>
      </w:r>
      <w:r>
        <w:rPr>
          <w:rFonts w:ascii="Times New Roman" w:cs="Times New Roman" w:eastAsia="Times New Roman" w:hAnsi="Times New Roman"/>
          <w:sz w:val="18"/>
          <w:szCs w:val="18"/>
          <w:i w:val="1"/>
          <w:iCs w:val="1"/>
          <w:color w:val="auto"/>
        </w:rPr>
        <w:t>Leases (Topic 842): Lessors – Certain Leases with Variable Lease Payments</w:t>
      </w:r>
      <w:r>
        <w:rPr>
          <w:rFonts w:ascii="Times New Roman" w:cs="Times New Roman" w:eastAsia="Times New Roman" w:hAnsi="Times New Roman"/>
          <w:sz w:val="18"/>
          <w:szCs w:val="18"/>
          <w:color w:val="auto"/>
        </w:rPr>
        <w:t xml:space="preserve"> (“ASU 2021-05”), which amends the lease classification requirements for lessors with certain leases containing variable payments. A lessor is to classify and account for a lease with variable lease payments that do not depend on an index or a rate as an operating lease if the lease would have been classified as a sales-type lease or a direct financing lease and the lessor would have otherwise recognized a day-one loss. For public entities, ASU 2021-05 is effective for fiscal years beginning after December 15, 2021, including interim periods within those fiscal years, with early adoption permitted. Entities that have adopted ASC Topic 842 prior to the issuance of ASU 2021-05 may apply this update either retrospectively to leases that commenced or were modified on or after the adoption of ASC Topic 842 or prospectively to leases that commence or are modified on or after the date the entity first applies ASU 2021-05. The Company adopted ASU 2021-05 effective January 1, 2022, with prospective application to leases commencing or modified thereafter, and the adoption did not have a material impact on its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The Company’s operations are comprised of the Merchant Acceptance (“Acceptance”) segment, the Financial Technology (“Fintech”) segment and the Payments and Network (“Payments”) segment. Additional information regarding the Company’s business segments is included in Note 19. The tables below present the Company’s revenue disaggregated by type of revenue, including a reconciliation with its reportable segments. The majority of the Company’s revenue is earned domestically, with revenue generated outside the U.S. comprising approximately 14% of total revenue for each of the three months ended June 30, 2022 and 2021, respectively, and 14% and 13% of total revenue for the six months ended June 30, 2022 and 2021,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160" w:type="dxa"/>
            <w:vAlign w:val="bottom"/>
          </w:tcPr>
          <w:p>
            <w:pPr>
              <w:spacing w:after="0"/>
              <w:rPr>
                <w:sz w:val="13"/>
                <w:szCs w:val="13"/>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16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160" w:type="dxa"/>
            <w:vAlign w:val="bottom"/>
          </w:tcPr>
          <w:p>
            <w:pPr>
              <w:spacing w:after="0"/>
              <w:rPr>
                <w:sz w:val="13"/>
                <w:szCs w:val="13"/>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7"/>
                <w:szCs w:val="17"/>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bl>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$371 million of revenue during the six months ended June 30, 2022 that was included in the contract liability balance at the beginning of the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services and product revenue expected to be recognized in the future related to performance obligations that were unsatisfied (or partially unsatisfied) at June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bl>
    <w:p>
      <w:pPr>
        <w:spacing w:after="0" w:line="2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73"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assets acquired and liabilities assumed based on the estimated fair values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Finxact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 2022, the Company acquired a remaining ownership interest in Finxact, Inc. (“Finxact”), a developer of cloud-native banking solutions powering digital transformation throughout the financial services sector, for approximately $645 million, net of $27 million of acquired cash. The Company previously held a noncontrolling equity interest in Finxact, which was accounted for under the equity method. The remeasurement of the Company’s previously held equity interest to its acquisition-date fair value resulted in the recognition of a pre-tax gain of approximately $110 million, included within income from investments in unconsolidated affiliates during the three and six months ended June 30, 2022. Finxact is included within the Fintech segment and advances the Company’s digital banking strategy, expanding its account processing, digital, and payments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purchase price for Finxact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assets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Identifiable intangible assets consist primarily of acquired software and technology, with a weighted average useful life of five years. The allocation of the purchase price is preliminary and is subject to further adjustment, pending additional refinement and final completion of valuations. Goodwill, not expected to be deductible for tax purposes, is primarily attributed to the anticipated value created by the combined scale, core platform modernization, and accelerated delivery of enhanced digital banking solutions offered to financial institutions of all sizes.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results of operations for Finxact are included in the consolidated results of the Company from the date of acquisition. Pro forma information for this acquisition is not provided because it did not have a material effect on the Company’s consolidated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BentoBox</w:t>
      </w:r>
    </w:p>
    <w:p>
      <w:pPr>
        <w:spacing w:after="0" w:line="17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On November 22, 2021, the Company acquired BentoBox CMS, Inc. (“BentoBox”), a digital marketing and commerce platform that helps restaurants connect with their guests, for $317 million, net of $24 million of acquired cash. BentoBox is included within the Acceptance segment, and further expands the Company’s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dining solutions and commerce and business management capabilities.</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2022, the Company identified and recorded measurement period adjustments to the preliminary BentoBox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$62 million, with offsetting amounts to the change in goodwill attributable to a decrease in identifiable intangible assets, including acquired software and technology, of $84 million and deferred tax adjustments of $22 million. Such measurement period adjustments did not have a material impact on the Company’s consolidated statements of income. The allocation of purchase price was finalized in the second quarter of 2022 and resulted in the recognition of identifiable intangible assets of $52 million, goodwill of $266 million and other net assets of $23 million. Goodwill, which is not deductible for tax purposes, is primarily attributed to the anticipated value created by the enhanced strength of the Company’s omnichannel platform to drive increased operational efficiencies for restaurants, enabling operators to deliver seamless and distinct hospitality experiences for their diners.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are as follows:</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results of operations for BentoBox are included in the consolidated results of the Company from the date of acquisition. Pro forma information for this acquisition is not provided because it did not have a material effect on the Company’s consolidated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Pineapple Payments</w:t>
      </w:r>
    </w:p>
    <w:p>
      <w:pPr>
        <w:spacing w:after="0" w:line="173"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On May 4, 2021, the Company acquired Pineapple Payments Holdings, LLC (“Pineapple Payments”), an independent sales organization that provides payment processing, proprietary technology, and payment acceptance solutions for merchants, for $207 million, net of $6 million of acquired cash, and including earn-out provisions estimated at a fair value of $30 million. Pineapple Payments is included within the Acceptance segment, and expands the reach of the Company’s payment solutions through its technology- and relationship-led distribution channels.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allocation of purchase price was finalized in the fourth quarter of 2021 and resulted in the recognition of identifiable intangible assets of $127 million, goodwill of $79 million and other net assets of $7 million. Goodwill, of which $59 million is deductible for tax purposes, is primarily attributed to the anticipated value created by the accelerated delivery of new and innovative capabilities to merchant clients.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Non-compete agreements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The results of operations for Pineapple Payments are included in the consolidated results of the Company from the date of acquisition. Pro forma information for this acquisition is not provided because it did not have a material effect on the Company’s consolidated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Ondot</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January 22, 2021, the Company acquired a remaining ownership interest in Ondot, a digital experience platform provider for financial institutions, for $271 million, net of $13 million of acquired cash and cash equivalents. The Company previously held a noncontrolling equity interest in Ondot, which was accounted for at cost. The remeasurement of the Company’s previously held equity interest to its acquisition-date fair value resulted in the recognition of a pre-tax gain of $12 million, included within other (expense) income in the consolidated statement of income during the six months ended June 30, 2021. Ondot is included within the Payments segment and further expands the Company’s digital capabilities, enhancing its suite of integrated payments, banking and merchant solutions.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purchase price recorded for Ondot was finalized in the third quarter of 2021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and other assets</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and 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Goodwill, not deductible for tax purposes, is primarily attributed to the anticipated value created by the combined scale of integrated digital solutions to consumers, merchants, acquirers, networks and card issuers. The amounts allocated to identifiable intangible assets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 and other</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results of operations for Ondot are included in the consolidated results of the Company from the date of acquisition. Pro forma information for this acquisition is not provided because it did not have a material effect on the Company’s consolidated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June 1, 2022, the Company acquired The LR2 Group, LLC (“City POS”), an independent sales organization that promotes payment processing services and facilitates the sale of point-of-sale equipment for merchants, for approximately $26 million, and including earn-out provisions estimated at a fair value of approximately $3 million (see Note 7). City POS is included within the Acceptance segment and expands the reach of the Company’s merchant services business. The preliminary allocation of purchase price resulted in the recognition of identifiable intangible assets, consisting of customer relationships, of approximately $10 million, goodwill of approximately $15 million and other net assets of approximately $1 million. The allocation of purchase price is preliminary and subject to further adjustment, pending additional refinement and final completion of valuations. Goodwill, which is expected to be deductible for tax purposes, is primarily attributed to the </w:t>
      </w:r>
      <w:r>
        <w:rPr>
          <w:rFonts w:ascii="Times New Roman" w:cs="Times New Roman" w:eastAsia="Times New Roman" w:hAnsi="Times New Roman"/>
          <w:sz w:val="18"/>
          <w:szCs w:val="18"/>
          <w:color w:val="242424"/>
        </w:rPr>
        <w:t>value created by further expanding the reach of the Company’s payment solutions</w:t>
      </w:r>
      <w:r>
        <w:rPr>
          <w:rFonts w:ascii="Times New Roman" w:cs="Times New Roman" w:eastAsia="Times New Roman" w:hAnsi="Times New Roman"/>
          <w:sz w:val="18"/>
          <w:szCs w:val="18"/>
          <w:color w:val="auto"/>
        </w:rPr>
        <w:t>. The results of operations for City POS are included in the consolidated results of the Company from the date of acquisition. Pro forma information for this acquisition is not provided because it did not have a material effect on the Company’s consolidated results of operations.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15, 2021, the Company acquired a remaining ownership interest in NetPay Solutions Group (“NetPay”), a multi-channel payment service provider offering a range of capabilities around onboarding, customer lifecycle, risk management and settlement to businesses of all sizes. The Company previously held a noncontrolling interest in NetPay, which was accounted for under the equity method and approximated acquisition-date fair value. NetPay is included within the Acceptance segment and further expands the Company’s merchant services business. On October 1, 2021, the Company acquired Integrity Payments, LLC (“AIP”), an independent sales organization that promotes payment processing services for merchants, which is included within the Acceptance segment. On June 14, 2021, the Company acquired Spend Labs Inc. (“SpendLabs”), a mobile-native, cloud-based software provider of commercial card payment solutions. SpendLabs is included within the Payments segment and further expands the Company’s digital capabilities across mobile and desktop devices for small and mid-sized businesses. On March 1, 2021, the Company acquired Radius8, Inc. (“Radius8”), a provider of a platform that uses consumer location and other information to drive incremental merchant transactions. Radius8 is included within the Acceptance segment and enhances the Company’s ability to help merchants increase sales, expand mobile application registration and improve one-to-one target marketing. The Company acquired these businesses for an aggregate purchase price of $87 million, net of the fair value of the Company’s previously held noncontrolling interest in NetPay of $14 million and including earn-out provisions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estimated at a fair value of $4 million (see Note 7). The allocation of purchase price for these acquisitions resulted in the recognition of identifiable intangible assets totaling $47 million, goodwill of $61 million and net assumed liabilities of $7 million. The purchase price allocation for the Radius8 acquisition was finalized in the third quarter of 2021 and for SpendLabs in the fourth quarter of 2021. The purchase price allocations for the NetPay and AIP acquisitions were finalized in the first quarter of 2022. Measurement period adjustments did not have a material impact on the consolidated statements of income. Goodwill, of which $14 million is deductible for tax purposes, is primarily attributed to </w:t>
      </w:r>
      <w:r>
        <w:rPr>
          <w:rFonts w:ascii="Times New Roman" w:cs="Times New Roman" w:eastAsia="Times New Roman" w:hAnsi="Times New Roman"/>
          <w:sz w:val="18"/>
          <w:szCs w:val="18"/>
          <w:color w:val="242424"/>
        </w:rPr>
        <w:t>synergies, the anticipated value created by advancing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digital capabilities to the Company’s clients, and selling the Company’s products and services to the acquired businesses’ existing client base</w:t>
      </w:r>
      <w:r>
        <w:rPr>
          <w:rFonts w:ascii="Times New Roman" w:cs="Times New Roman" w:eastAsia="Times New Roman" w:hAnsi="Times New Roman"/>
          <w:sz w:val="18"/>
          <w:szCs w:val="18"/>
          <w:color w:val="000000"/>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amounts allocated to intangible assets for other acquisitions acquired in 2021 are as follows:</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these acquired businesses have been included in the consolidated results of the Company from the respective dates of acquisition. Pro forma information for these acquisitions is not provided because they did not have a material effect on the Company’s consolidated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5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0"/>
                <w:szCs w:val="10"/>
                <w:color w:val="auto"/>
              </w:rPr>
            </w:pPr>
          </w:p>
        </w:tc>
        <w:tc>
          <w:tcPr>
            <w:tcW w:w="1540" w:type="dxa"/>
            <w:vAlign w:val="bottom"/>
            <w:gridSpan w:val="2"/>
            <w:vMerge w:val="restart"/>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0"/>
                <w:szCs w:val="10"/>
                <w:color w:val="auto"/>
              </w:rPr>
            </w:pPr>
          </w:p>
        </w:tc>
        <w:tc>
          <w:tcPr>
            <w:tcW w:w="1380" w:type="dxa"/>
            <w:vAlign w:val="bottom"/>
            <w:vMerge w:val="restart"/>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4"/>
                <w:szCs w:val="24"/>
                <w:color w:val="auto"/>
              </w:rPr>
            </w:pPr>
          </w:p>
        </w:tc>
        <w:tc>
          <w:tcPr>
            <w:tcW w:w="13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Net Book</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5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vMerge w:val="restart"/>
          </w:tcPr>
          <w:p>
            <w:pPr>
              <w:jc w:val="center"/>
              <w:ind w:right="4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19"/>
                <w:szCs w:val="19"/>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8"/>
                <w:szCs w:val="18"/>
                <w:color w:val="auto"/>
              </w:rPr>
            </w:pPr>
          </w:p>
        </w:tc>
        <w:tc>
          <w:tcPr>
            <w:tcW w:w="280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6"/>
                <w:szCs w:val="16"/>
                <w:color w:val="auto"/>
              </w:rPr>
            </w:pPr>
          </w:p>
        </w:tc>
        <w:tc>
          <w:tcPr>
            <w:tcW w:w="1160" w:type="dxa"/>
            <w:vAlign w:val="bottom"/>
          </w:tcPr>
          <w:p>
            <w:pPr>
              <w:jc w:val="right"/>
              <w:ind w:right="47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470"/>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9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from investments in unconsolidated affiliates and the related tax expense or benefit is reported within the income tax provision in the consolidated statements of income.</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defi SOLUTIONS Group, LLC and Sagent M&amp;C, LLC (collectively the “Lending Joint Ventures”), respectively, which are accounted for under the equity method. In March 2022, Sagent M&amp;C, LLC (“Sagent”) completed a transaction with a third party for the contribution from and the sale by such third party to Sagent of certain intangible and tangible personal property rights, resulting in a dilution of the Company’s ownership interest in Sagent. As a result of the transaction, the Company recognized a pre-tax gain of $80 million within income from investments in unconsolidated affiliates, with related tax expense of $19 million recorded through the income tax provision, in the consolidated statement of income during the six months ended June 30, 2022. The Company’s remaining noncontrolling ownership interest in Sagent continues to be accounted for as an equity method investment.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Lending Joint Ventures maintain, as amended in April 2022, variable-rate term loan facilities with aggregate outstanding borrowings of $437 million in senior unsecured debt at June 30, 2022 and variable-rate revolving credit facilities with an aggregate borrowing capacity of $83 million with a syndicate of banks, which mature in April 2027. There were no outstanding borrowings on the revolving credit facilities at June 30, 2022. The Company has guaranteed this amended debt of the Lending Joint Ventures and does not anticipate that the Lending Joint Ventures will fail to fulfill their debt obligations. See Note 7 for additional information.</w:t>
      </w:r>
    </w:p>
    <w:p>
      <w:pPr>
        <w:spacing w:after="0" w:line="129"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The Company previously maintained a noncontrolling interest in Tegra118, LLC (“Tegra118”) which was accounted for under the equity method. In February 2021, Tegra118 completed a merger with a third party, resulting in a dilution of the Company’s ownership interest in the combined new entity, Wealthtech Holdings, LLC, which was subsequently renamed as InvestCloud Holdings, LLC (“InvestCloud”). In connection with the transaction, the Company made an additional capital contribution of $200 million into the combined entity and recognized a pre-tax gain of $28 million within income from investments in unconsolidated affiliates, with related tax expense of $6 million recorded through the income tax provision, in the consolidated statement of income during the six months ended June 30, 2021. On June 30, 2021, the Company sold its remaining equity method ownership interest in InvestCloud for $466 million, resulting in a pre-tax gain of $33 million recorded within income from investments in unconsolidated affiliates in the consolidated statements of income, with related tax expense of $8 million recorded through the income tax provision, during the three and six months ended June 30, 2021. The Company continues to provide various technical and data center related services under the terms of a pre-existing transition services agreement with InvestCloud.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75"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settlement assets and obligations, accounts payable, and client deposits approximate their respective carrying values due to the short period of time to maturity. The Company’s derivative instruments are measured on a recurring basis based on foreign currency spot rates and forwards quoted by banks and foreign currency dealers and are marked to market each period (see Note 12). Contingent consideration related to certain of the Company’s acquisitions (see Note 4) is estimated based on the present value of a probability-weighted assessment approach derived from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8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540" w:type="dxa"/>
            <w:vAlign w:val="bottom"/>
          </w:tcPr>
          <w:p>
            <w:pPr>
              <w:jc w:val="center"/>
              <w:ind w:left="1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28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780" w:type="dxa"/>
            <w:vAlign w:val="bottom"/>
            <w:vMerge w:val="continue"/>
          </w:tcPr>
          <w:p>
            <w:pPr>
              <w:spacing w:after="0"/>
              <w:rPr>
                <w:sz w:val="17"/>
                <w:szCs w:val="17"/>
                <w:color w:val="auto"/>
              </w:rPr>
            </w:pPr>
          </w:p>
        </w:tc>
        <w:tc>
          <w:tcPr>
            <w:tcW w:w="1540" w:type="dxa"/>
            <w:vAlign w:val="bottom"/>
          </w:tcPr>
          <w:p>
            <w:pPr>
              <w:jc w:val="center"/>
              <w:ind w:left="1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Hierarchy</w:t>
            </w:r>
          </w:p>
        </w:tc>
        <w:tc>
          <w:tcPr>
            <w:tcW w:w="128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Level 2</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Level 2</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Level 3</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Level 3</w:t>
            </w: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Level 3</w:t>
            </w:r>
          </w:p>
        </w:tc>
        <w:tc>
          <w:tcPr>
            <w:tcW w:w="1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Level 3</w:t>
            </w: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debt associated with the receivables securitization agreement, term loan credit agreement,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$19.7 billion and $21.8 billion at June 30, 2022 and December 31, 2021, respectively, and the carrying value was $20.8 billion and $20.4 billion at June 30, 2022 and December 31, 2021, respectively.</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(see Note 6), which are reported within accounts payable and accrued expenses, and other long-term liabilities in the consolidated balance sheets. In April 2022, the Lending Joint Ventures amended their respective term loans and revolving credit facilities, increasing aggregate borrowing capacity by $75 million and extending the maturity to April 2027. The Company elected to guarantee this incremental indebtedness, resulting in aggregate guarantees of $520 million and a pre-tax expense of $62 million, recorded within other (expense) income in the consolidated statements of income and within other operating activities in the consolidated statement of cash flows, during the three and six months ended June 30, 2022 related to such debt guarantee obligations. The Company is entitled to receive a defined fee in exchange for its incremental guarantee of this indebtedness. The Company has not made any payments under the guarantees, nor has it been called upon to do so, and does not anticipate that the Lending Joint Ventures will fail to fulfill their debt obligations.</w:t>
      </w:r>
    </w:p>
    <w:p>
      <w:pPr>
        <w:spacing w:after="0" w:line="13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$45 million and $10 million approximates the fair value at June 30, 2022 and December 31, 2021, respectively (Level 3 of the fair value hierarchy). Such guarantees will be amortized in future periods over the contractual term. The contingent component of the Company’s debt guarantee arrangements represents the current expected credit losses to which the Company is exposed. The amount of the liability is estimated based on certain financial metrics of the Lending Joint Ventures and historical industry data, which is used to develop assumptions of the likelihood the guaranteed parties will default and the level of credit losses in the event a default occurs (Level 3 of the fair value hierarchy). The Company recognized $3 million during each of the three months ended June 30, 2022 and 2021, and $6 million during each of the six months ended June 30, 2022 and 2021, within other (expense) income in its consolidated statements of income related to its release from risk under the non-contingent guarantees as well as a change in the provision of estimated credit losses associated with the indebtedness of the joint ventures.</w:t>
      </w:r>
    </w:p>
    <w:p>
      <w:pPr>
        <w:spacing w:after="0" w:line="1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(“ROU”) assets, equity securities without a readily determinable fair value, goodwill and other intangible assets, and are subject to fair value adjustment in certain circumstances.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Expenses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October 2022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 securitized loan</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first six months of 2022. At June 30, 2022, the 3.50% senior notes due in October 2022 and the receivable securitized loan due in July 2022 were classified in the consolidated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balance sheet as long-term, as the Company has the intent to refinance this debt on a long-term basis and the ability to do so under its revolving credit facility, as further discussed below.</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2022, the Company entered into a new senior unsecured multicurrency revolving credit facility with substantially the same syndicate of banks that were lenders under its existing amended and restated revolving credit facility, which the Company voluntarily terminated and replaced. The new credit agreement matures in June 2027 and provides for a maximum aggregate principal amount of availability of $6.0 billion. Borrowings under the new credit facility bear interest at a variable rate based on the Secured Overnight Financing Rate (“SOFR”) or a base rate in the case of U.S. dollar borrowings, in each case, plus a specified margin based on the Company’s long-term debt rating in effect from time to time. The credit facility also requires the Company to pay a facility fee based on the aggregate commitments in effect under the agreement from time to time. The new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(“EBITDA”) during the period of four fiscal quarters then ended, subject to certain exceptions.</w:t>
      </w:r>
    </w:p>
    <w:p>
      <w:pPr>
        <w:spacing w:after="0" w:line="13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$1.2 billion and $916 million at June 30, 2022 and December 31, 2021, respectively, with weighted average interest rates of 1.984% and 0.295%, respectively. Outstanding borrowings under the Euro program were $1.2 billion and $905 million at June 30, 2022 and December 31, 2021, respectively, with weighted average interest rates of (0.219)% and (0.420)%, respectively. The Company intends to maintain available capacity under its revolving credit facility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Effective July 1, 2022, the Company redeemed $700 million in aggregate principal amount of its outstanding 3.50% senior notes due in October 2022 at a redemption price equal to 100% of the aggregate principal amount of the notes being redeemed, plus accrued and unpaid interest. The Company financed the redemption of these notes using proceeds from the issuance of U.S. dollar commercial paper.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Noncontrolling Interests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minority partner in one of the Company’s existing merchant alliance joint ventures maintains a redeemable noncontrolling interest which is presented outside of equity and carried at its estimated redemption value. The minority partner owns 1% of the equity in the joint venture; in addition, the minority partner is entitled to a contractually determined share of the entity’s income. The agreement contains redemption features whereby the interest held by the minority partner is redeemable either (i) at the option of the holder or (ii) upon the occurrence of an event that is not solely within the Company’s control. The joint venture may be terminated by either party for convenience any time after December 31, 2024. In the event of termination for cause, as a result of a change in control, or for convenience after the predetermined date, the Company may be required to purchase the minority partner membership interest at a price equal to the fair market value of the minority interest through a distribution in the form of cash, certain merchant contracts of the joint venture, or a combination thereof to the minority partner. In conjunction with the termination of the joint venture, the minority partner may also exercise an option to purchase certain additional merchant contracts at fair market value.</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Effective March 2, 2022, the Company and a joint venture minority partner mutually terminated one of the Company’s merchant alliance joint ventures in which the minority partner held a redeemable noncontrolling interest. In conjunction with this termination, the joint venture minority partner elected to exercise its option to purchase certain additional merchant contracts of the joint venture. The Company received proceeds of $175 million from the sale of such merchant contracts of the joint venture, resulting in the recognition of a pre-tax gain of $147 million within gain on sale of assets, with related tax expense of $9 million recorded through the income tax provision, in the consolidated statement of income during the six months ended June 30,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interests activity during the six months ended June 30: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2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Derecognition of redeemable noncontrolling interest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and six months ended June 30, 2022 and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7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2022</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Capital contribution from</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noncontrolling interest</w:t>
            </w: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CCEEFF"/>
            </w:tcBorders>
          </w:tcPr>
          <w:p>
            <w:pPr>
              <w:spacing w:after="0"/>
              <w:rPr>
                <w:sz w:val="7"/>
                <w:szCs w:val="7"/>
                <w:color w:val="auto"/>
              </w:rPr>
            </w:pPr>
          </w:p>
        </w:tc>
        <w:tc>
          <w:tcPr>
            <w:tcW w:w="2360" w:type="dxa"/>
            <w:vAlign w:val="bottom"/>
            <w:tcBorders>
              <w:bottom w:val="single" w:sz="8" w:color="CCEEFF"/>
            </w:tcBorders>
            <w:gridSpan w:val="2"/>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160" w:hanging="328"/>
        <w:spacing w:after="0" w:line="225"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June 30, 2022 is different than the amount presented in the consolidated statement of income due to the net income attributable to redeemable noncontrolling interests of $5 million not included in equity.</w:t>
      </w:r>
    </w:p>
    <w:p>
      <w:pPr>
        <w:spacing w:after="0" w:line="87" w:lineRule="exact"/>
        <w:rPr>
          <w:rFonts w:ascii="Times New Roman" w:cs="Times New Roman" w:eastAsia="Times New Roman" w:hAnsi="Times New Roman"/>
          <w:sz w:val="21"/>
          <w:szCs w:val="21"/>
          <w:color w:val="auto"/>
          <w:vertAlign w:val="superscript"/>
        </w:rPr>
      </w:pPr>
    </w:p>
    <w:p>
      <w:pPr>
        <w:ind w:left="660" w:right="560" w:hanging="328"/>
        <w:spacing w:after="0" w:line="232"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three months ended June 30, 2022 excludes $8 million in distributions paid to redeemable noncontrolling interests not included in equity.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20" w:right="900"/>
        <w:spacing w:after="0" w:line="264" w:lineRule="auto"/>
        <w:rPr>
          <w:sz w:val="20"/>
          <w:szCs w:val="20"/>
          <w:color w:val="auto"/>
        </w:rPr>
      </w:pPr>
      <w:r>
        <w:rPr>
          <w:rFonts w:ascii="Times New Roman" w:cs="Times New Roman" w:eastAsia="Times New Roman" w:hAnsi="Times New Roman"/>
          <w:sz w:val="14"/>
          <w:szCs w:val="14"/>
          <w:b w:val="1"/>
          <w:bCs w:val="1"/>
          <w:color w:val="auto"/>
        </w:rPr>
        <w:t>Three Months Ended June 30, 2021</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right="660"/>
        <w:spacing w:after="0" w:line="283" w:lineRule="auto"/>
        <w:rPr>
          <w:sz w:val="20"/>
          <w:szCs w:val="20"/>
          <w:color w:val="auto"/>
        </w:rPr>
      </w:pPr>
      <w:r>
        <w:rPr>
          <w:rFonts w:ascii="Times New Roman" w:cs="Times New Roman" w:eastAsia="Times New Roman" w:hAnsi="Times New Roman"/>
          <w:sz w:val="14"/>
          <w:szCs w:val="14"/>
          <w:color w:val="auto"/>
        </w:rPr>
        <w:t xml:space="preserve">Balance at March 31, 2021 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80" w:right="140" w:hanging="161"/>
        <w:spacing w:after="0" w:line="22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ind w:left="180" w:hanging="161"/>
        <w:spacing w:after="0" w:line="261" w:lineRule="auto"/>
        <w:rPr>
          <w:sz w:val="20"/>
          <w:szCs w:val="20"/>
          <w:color w:val="auto"/>
        </w:rPr>
      </w:pPr>
      <w:r>
        <w:rPr>
          <w:rFonts w:ascii="Times New Roman" w:cs="Times New Roman" w:eastAsia="Times New Roman" w:hAnsi="Times New Roman"/>
          <w:sz w:val="14"/>
          <w:szCs w:val="14"/>
          <w:color w:val="auto"/>
        </w:rPr>
        <w:t>Retirement of treasury stock (see Note 18)</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June 30, 2021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9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789</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color w:val="auto"/>
              </w:rPr>
              <w:t>(536)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32,586</w:t>
            </w: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213</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270"/>
        </w:trPr>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32,532</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-1379220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-1113790</wp:posOffset>
            </wp:positionV>
            <wp:extent cx="71323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-770890</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-513715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-170815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140"/>
            <w:col w:w="8860"/>
          </w:cols>
          <w:pgMar w:left="320" w:top="121"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660" w:right="160" w:hanging="328"/>
        <w:spacing w:after="0" w:line="232"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June 30, 2021 is different than the amount presented in the consolidated statement of income due to the net income attributable to redeemable noncontrolling interests of $12 million not included in equity.</w:t>
      </w:r>
    </w:p>
    <w:p>
      <w:pPr>
        <w:spacing w:after="0" w:line="88" w:lineRule="exact"/>
        <w:rPr>
          <w:rFonts w:ascii="Times New Roman" w:cs="Times New Roman" w:eastAsia="Times New Roman" w:hAnsi="Times New Roman"/>
          <w:sz w:val="21"/>
          <w:szCs w:val="21"/>
          <w:color w:val="auto"/>
          <w:vertAlign w:val="superscript"/>
        </w:rPr>
      </w:pPr>
    </w:p>
    <w:p>
      <w:pPr>
        <w:ind w:left="660" w:right="480" w:hanging="328"/>
        <w:spacing w:after="0" w:line="232"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three months ended June 30, 2021 excludes $10 million in distributions paid to redeemable noncontrolling interests not included in equity.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right="300"/>
        <w:spacing w:after="0" w:line="283" w:lineRule="auto"/>
        <w:rPr>
          <w:sz w:val="20"/>
          <w:szCs w:val="20"/>
          <w:color w:val="auto"/>
        </w:rPr>
      </w:pPr>
      <w:r>
        <w:rPr>
          <w:rFonts w:ascii="Times New Roman" w:cs="Times New Roman" w:eastAsia="Times New Roman" w:hAnsi="Times New Roman"/>
          <w:sz w:val="14"/>
          <w:szCs w:val="14"/>
          <w:color w:val="auto"/>
        </w:rPr>
        <w:t xml:space="preserve">Balance at December 31, 2021 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80" w:hanging="161"/>
        <w:spacing w:after="0" w:line="22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ind w:left="2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jc w:val="right"/>
        <w:ind w:left="20" w:right="600"/>
        <w:spacing w:after="0" w:line="261" w:lineRule="auto"/>
        <w:rPr>
          <w:sz w:val="20"/>
          <w:szCs w:val="20"/>
          <w:color w:val="auto"/>
        </w:rPr>
      </w:pPr>
      <w:r>
        <w:rPr>
          <w:rFonts w:ascii="Times New Roman" w:cs="Times New Roman" w:eastAsia="Times New Roman" w:hAnsi="Times New Roman"/>
          <w:sz w:val="14"/>
          <w:szCs w:val="14"/>
          <w:color w:val="auto"/>
        </w:rPr>
        <w:t>Capital contribution from noncontrolling interest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June 30, 2022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1280" w:type="dxa"/>
            <w:vAlign w:val="bottom"/>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31,672</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91"/>
        </w:trPr>
        <w:tc>
          <w:tcPr>
            <w:tcW w:w="8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23,010</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31,809</w:t>
            </w:r>
          </w:p>
        </w:tc>
        <w:tc>
          <w:tcPr>
            <w:tcW w:w="0" w:type="dxa"/>
            <w:vAlign w:val="bottom"/>
          </w:tcPr>
          <w:p>
            <w:pPr>
              <w:spacing w:after="0"/>
              <w:rPr>
                <w:sz w:val="1"/>
                <w:szCs w:val="1"/>
                <w:color w:val="auto"/>
              </w:rPr>
            </w:pPr>
          </w:p>
        </w:tc>
      </w:tr>
      <w:tr>
        <w:trPr>
          <w:trHeight w:val="27"/>
        </w:trPr>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-1379220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-1113790</wp:posOffset>
            </wp:positionV>
            <wp:extent cx="713232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-770890</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-513715</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-170815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280"/>
            <w:col w:w="8860"/>
          </w:cols>
          <w:pgMar w:left="320" w:top="121" w:right="339" w:bottom="1440" w:gutter="0" w:footer="0" w:header="0"/>
          <w:type w:val="continuous"/>
        </w:sectPr>
      </w:pPr>
    </w:p>
    <w:p>
      <w:pPr>
        <w:spacing w:after="0" w:line="70" w:lineRule="exact"/>
        <w:rPr>
          <w:sz w:val="20"/>
          <w:szCs w:val="20"/>
          <w:color w:val="auto"/>
        </w:rPr>
      </w:pPr>
    </w:p>
    <w:p>
      <w:pPr>
        <w:ind w:left="660" w:right="2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six months ended June 30, 2022 is different than the amount presented in the consolidated statement of income due to the net income attributable to redeemable noncontrolling interests of $15 million not included in equity.</w:t>
      </w:r>
    </w:p>
    <w:p>
      <w:pPr>
        <w:spacing w:after="0" w:line="55"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six months ended June 30, 2022 excludes $21 million in distributions paid to redeemable noncontrolling interests</w:t>
      </w:r>
    </w:p>
    <w:p>
      <w:pPr>
        <w:sectPr>
          <w:pgSz w:w="11900" w:h="16838" w:orient="portrait"/>
          <w:cols w:equalWidth="0" w:num="1">
            <w:col w:w="11240"/>
          </w:cols>
          <w:pgMar w:left="320" w:top="121"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included in equity.</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right="440"/>
        <w:spacing w:after="0" w:line="283" w:lineRule="auto"/>
        <w:rPr>
          <w:sz w:val="20"/>
          <w:szCs w:val="20"/>
          <w:color w:val="auto"/>
        </w:rPr>
      </w:pPr>
      <w:r>
        <w:rPr>
          <w:rFonts w:ascii="Times New Roman" w:cs="Times New Roman" w:eastAsia="Times New Roman" w:hAnsi="Times New Roman"/>
          <w:sz w:val="14"/>
          <w:szCs w:val="14"/>
          <w:color w:val="auto"/>
        </w:rPr>
        <w:t xml:space="preserve">Balance at December 31, 2020 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80" w:right="140" w:hanging="161"/>
        <w:spacing w:after="0" w:line="22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ind w:left="180" w:hanging="161"/>
        <w:spacing w:after="0" w:line="261" w:lineRule="auto"/>
        <w:rPr>
          <w:sz w:val="20"/>
          <w:szCs w:val="20"/>
          <w:color w:val="auto"/>
        </w:rPr>
      </w:pPr>
      <w:r>
        <w:rPr>
          <w:rFonts w:ascii="Times New Roman" w:cs="Times New Roman" w:eastAsia="Times New Roman" w:hAnsi="Times New Roman"/>
          <w:sz w:val="14"/>
          <w:szCs w:val="14"/>
          <w:color w:val="auto"/>
        </w:rPr>
        <w:t>Retirement of treasury stock (see Note 18)</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June 30, 2021</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8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9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789</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33,070</w:t>
            </w: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270"/>
        </w:trPr>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32,532</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-1379220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-1113790</wp:posOffset>
            </wp:positionV>
            <wp:extent cx="713232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-770890</wp:posOffset>
            </wp:positionV>
            <wp:extent cx="7132320"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-513715</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-170815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140"/>
            <w:col w:w="8860"/>
          </w:cols>
          <w:pgMar w:left="320" w:top="121" w:right="339" w:bottom="1440" w:gutter="0" w:footer="0" w:header="0"/>
          <w:type w:val="continuous"/>
        </w:sectPr>
      </w:pPr>
    </w:p>
    <w:p>
      <w:pPr>
        <w:spacing w:after="0" w:line="16" w:lineRule="exact"/>
        <w:rPr>
          <w:sz w:val="20"/>
          <w:szCs w:val="20"/>
          <w:color w:val="auto"/>
        </w:rPr>
      </w:pPr>
    </w:p>
    <w:p>
      <w:pPr>
        <w:ind w:left="660" w:right="20" w:hanging="328"/>
        <w:spacing w:after="0" w:line="225"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six months ended June 30, 2021 is different than the amount presented in the consolidated statement of income due to the net income attributable to redeemable noncontrolling interests of $22 million not included in equity.</w:t>
      </w:r>
    </w:p>
    <w:p>
      <w:pPr>
        <w:spacing w:after="0" w:line="100" w:lineRule="exact"/>
        <w:rPr>
          <w:rFonts w:ascii="Times New Roman" w:cs="Times New Roman" w:eastAsia="Times New Roman" w:hAnsi="Times New Roman"/>
          <w:sz w:val="21"/>
          <w:szCs w:val="21"/>
          <w:color w:val="auto"/>
          <w:vertAlign w:val="superscript"/>
        </w:rPr>
      </w:pPr>
    </w:p>
    <w:p>
      <w:pPr>
        <w:ind w:left="660" w:right="40" w:hanging="328"/>
        <w:spacing w:after="0" w:line="225"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six months ended June 30, 2021 excludes $20 million in distributions paid to redeemable noncontrolling interests not included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940" w:type="dxa"/>
            <w:vAlign w:val="bottom"/>
            <w:gridSpan w:val="3"/>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940" w:type="dxa"/>
            <w:vAlign w:val="bottom"/>
            <w:gridSpan w:val="3"/>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5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1940" w:type="dxa"/>
            <w:vAlign w:val="bottom"/>
            <w:gridSpan w:val="3"/>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44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March 31, 2022</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p>
      <w:pPr>
        <w:ind w:left="180"/>
        <w:spacing w:after="0"/>
        <w:rPr>
          <w:sz w:val="20"/>
          <w:szCs w:val="20"/>
          <w:color w:val="auto"/>
        </w:rPr>
      </w:pPr>
      <w:r>
        <w:rPr>
          <w:rFonts w:ascii="Times New Roman" w:cs="Times New Roman" w:eastAsia="Times New Roman" w:hAnsi="Times New Roman"/>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(105)</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March 31, 2021</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p>
      <w:pPr>
        <w:spacing w:after="0" w:line="23" w:lineRule="exact"/>
        <w:rPr>
          <w:sz w:val="20"/>
          <w:szCs w:val="20"/>
          <w:color w:val="auto"/>
        </w:rPr>
      </w:pPr>
    </w:p>
    <w:p>
      <w:pPr>
        <w:ind w:left="180" w:right="620" w:hanging="161"/>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(118)</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(11)</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3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760" w:type="dxa"/>
            <w:vAlign w:val="bottom"/>
          </w:tcPr>
          <w:p>
            <w:pPr>
              <w:spacing w:after="0"/>
              <w:rPr>
                <w:sz w:val="20"/>
                <w:szCs w:val="20"/>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80" w:type="dxa"/>
            <w:vAlign w:val="bottom"/>
          </w:tcPr>
          <w:p>
            <w:pPr>
              <w:spacing w:after="0"/>
              <w:rPr>
                <w:sz w:val="16"/>
                <w:szCs w:val="16"/>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6"/>
                <w:szCs w:val="16"/>
                <w:color w:val="auto"/>
              </w:rPr>
            </w:pP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December 31, 2021</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p>
      <w:pPr>
        <w:ind w:left="180"/>
        <w:spacing w:after="0"/>
        <w:rPr>
          <w:sz w:val="20"/>
          <w:szCs w:val="20"/>
          <w:color w:val="auto"/>
        </w:rPr>
      </w:pPr>
      <w:r>
        <w:rPr>
          <w:rFonts w:ascii="Times New Roman" w:cs="Times New Roman" w:eastAsia="Times New Roman" w:hAnsi="Times New Roman"/>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(107)</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December 31, 2020</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p>
      <w:pPr>
        <w:ind w:left="180"/>
        <w:spacing w:after="0"/>
        <w:rPr>
          <w:sz w:val="20"/>
          <w:szCs w:val="20"/>
          <w:color w:val="auto"/>
        </w:rPr>
      </w:pPr>
      <w:r>
        <w:rPr>
          <w:rFonts w:ascii="Times New Roman" w:cs="Times New Roman" w:eastAsia="Times New Roman" w:hAnsi="Times New Roman"/>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(121)</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6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0"/>
        </w:trPr>
        <w:tc>
          <w:tcPr>
            <w:tcW w:w="46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entered into forward exchange contracts, which have been designated as cash flow hedges, to hedge foreign currency exposure to the Indian Rupee. The notional amount of these derivatives was $327 million and $341 million at June 30, 2022 and December 31, 2021, respectively, with the fair value totaling $4 million reported primarily within accounts payable and accrued expenses in the consolidated balance sheet at June 30, 2022, and $6 million within prepaid expenses and other current assets at December 31, 2021. Based on the amounts recorded in accumulated other comprehensive loss at June 30,</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2022, the Company estimates that it will recognize losses of approximately $4 million in cost of processing and services during the next twelve months as foreign exchange forward contracts settle.</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(“First Data”) and its subsidiaries. In June 2019, concurrent with the issuance of U.S dollar-denominated senior notes, the Treasury Locks were settled resulting in a loss, net of income taxes, and recorded in accumulated other comprehensive loss that is being amortized to earnings over the terms of the originally forecasted interest payments. The unamortized balance recorded in accumulated other comprehensive loss related to the Treasury Locks was $137 million and $145 million at June 30, 2022 and December 31, 2021, respectively. Based on the amounts recorded in accumulated other comprehensive loss at June 30, 2022, the Company estimates that it will recognize approximately $16 million in net interest expense during the next twelve months related to settled interest rate hedge contracts.</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its foreign currency-denominated debt as an economic hedge of its net investments in such foreign currency-denominated subsidiaries. The Company has designated its Euro- and British Pound-denominated senior notes and Euro commercial paper notes as net investment hedges to hedge a portion of its net investment in certain subsidiaries whose functional currencies are the Euro and the British Pound. Accordingly, foreign currency transaction gains or losses on the qualifying net investment hedge instruments are recorded as foreign currency translation within other comprehensive (loss) income in the consolidated statements of comprehensive income and will remain in accumulated other comprehensive loss in the consolidated balance sheets until the sale or complete liquidation of the underlying foreign subsidiaries. The Company recorded foreign currency translation gains (losses) of $181 million and $248 million, net of income tax provision of $61 million and $83 million, during the three and six months ended June 30, 2022, respectively, and $(26) million and $6 million during the three and six months ended June 30, 2021, respectively, in other comprehensive income from the translation of foreign currency-denominated senior notes and commercial paper notes.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recognized $94 million and $61 million of share-based compensation expense during the three months ended June 30, 2022 and 2021, respectively, and $155 million and $127 million of share-based compensation expense during the six months ended June 30, 2022 and 2021, respectively. The Company's share-based compensation awards are typically granted in the first quarter of the year, and may also occur throughout the year in conjunction with acquisitions of businesses. At June 30, 2022, the total remaining unrecognized compensation cost for unvested stock options, restricted stock units and awards and performance share units, net of estimated forfeitures, of $636 million is expected to be recognized over a weighted-average period of 2.4 years. During the six months ended June 30, 2022 and 2021, stock options to purchase 1.5 million and 2.4 million shares, respectively, were exercised.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six months ended June 30, 2022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4"/>
                <w:szCs w:val="14"/>
                <w:color w:val="auto"/>
              </w:rPr>
            </w:pPr>
          </w:p>
        </w:tc>
        <w:tc>
          <w:tcPr>
            <w:tcW w:w="146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Aggregate Intrinsic</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0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Value (In millions)</w:t>
            </w:r>
          </w:p>
        </w:tc>
        <w:tc>
          <w:tcPr>
            <w:tcW w:w="0" w:type="dxa"/>
            <w:vAlign w:val="bottom"/>
          </w:tcPr>
          <w:p>
            <w:pPr>
              <w:spacing w:after="0"/>
              <w:rPr>
                <w:sz w:val="1"/>
                <w:szCs w:val="1"/>
                <w:color w:val="auto"/>
              </w:rPr>
            </w:pPr>
          </w:p>
        </w:tc>
      </w:tr>
      <w:tr>
        <w:trPr>
          <w:trHeight w:val="225"/>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June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 exercisable - June 30, 2022</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53.29</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680" w:type="dxa"/>
            <w:vAlign w:val="bottom"/>
          </w:tcPr>
          <w:p>
            <w:pPr>
              <w:spacing w:after="0"/>
              <w:rPr>
                <w:sz w:val="24"/>
                <w:szCs w:val="24"/>
                <w:color w:val="auto"/>
              </w:rPr>
            </w:pPr>
          </w:p>
        </w:tc>
        <w:tc>
          <w:tcPr>
            <w:tcW w:w="15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during the six months ended June 30, 2022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3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Restricted Stock Units and Awards</w:t>
            </w:r>
          </w:p>
        </w:tc>
        <w:tc>
          <w:tcPr>
            <w:tcW w:w="3240" w:type="dxa"/>
            <w:vAlign w:val="bottom"/>
            <w:gridSpan w:val="4"/>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Performance Share Units</w:t>
            </w:r>
          </w:p>
        </w:tc>
        <w:tc>
          <w:tcPr>
            <w:tcW w:w="0" w:type="dxa"/>
            <w:vAlign w:val="bottom"/>
          </w:tcPr>
          <w:p>
            <w:pPr>
              <w:spacing w:after="0"/>
              <w:rPr>
                <w:sz w:val="1"/>
                <w:szCs w:val="1"/>
                <w:color w:val="auto"/>
              </w:rPr>
            </w:pPr>
          </w:p>
        </w:tc>
      </w:tr>
      <w:tr>
        <w:trPr>
          <w:trHeight w:val="159"/>
        </w:trPr>
        <w:tc>
          <w:tcPr>
            <w:tcW w:w="4680" w:type="dxa"/>
            <w:vAlign w:val="bottom"/>
          </w:tcPr>
          <w:p>
            <w:pPr>
              <w:spacing w:after="0"/>
              <w:rPr>
                <w:sz w:val="13"/>
                <w:szCs w:val="13"/>
                <w:color w:val="auto"/>
              </w:rPr>
            </w:pPr>
          </w:p>
        </w:tc>
        <w:tc>
          <w:tcPr>
            <w:tcW w:w="166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3"/>
                <w:szCs w:val="13"/>
                <w:color w:val="auto"/>
              </w:rPr>
            </w:pPr>
          </w:p>
        </w:tc>
        <w:tc>
          <w:tcPr>
            <w:tcW w:w="168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June 30, 2022</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1, 2022, in conjunction with the acquisition of Finxact (see Note 4), the Company granted 2.4 million restricted stock units with performance vesting provisions to be measured over two and five years, which are presented as performance share units within the table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7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4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0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r>
      <w:tr>
        <w:trPr>
          <w:trHeight w:val="234"/>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r>
    </w:tbl>
    <w:p>
      <w:pPr>
        <w:spacing w:after="0" w:line="28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income tax provision as a percentage of income before income taxes and income from investments in unconsolidated affiliates was 22.2% and 48.5% for the three months ended June 30, 2022 and 2021, respectively, and was 18.2% and 31.1% for the six months ended June 20, 2022 and 2021, respectively.</w:t>
      </w:r>
    </w:p>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2021 included $134 million of income tax expense attributed to the revaluation of certain net deferred tax liabilities, primarily related to intangible assets and investments in joint ventures recognized at fair value in connection with the acquisition of First Data, reflecting the effect of enacted corporate income tax rate changes in the United Kingdom (tax rate increase from 19% to 25% starting in 2023) and Argentina (tax rate increase from 25% to 35%), partially offset by decreases in uncertain tax positions.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each of the six months ended June 30, 2022 and 2021 includes discrete tax benefits from subsidiary restructurings and equity compensation related tax benefits. The effective income tax rate for the six months ended June 30, 2021 also included the impact of the revaluation of certain net deferred tax liabilities described above.</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$110 million at June 30, 2022. The Company believes it is reasonably possible that the liability for unrecognized tax benefits may decrease by up to $6 million over the next twelve months as a result of possible closure of tax audits, potential audit settlements, and the lapse of the statutes of limitation in various jurisdictions.</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June 30, 2022, the Company’s U.S. federal income tax return for 2021, and tax returns in certain states and foreign jurisdictions for 2013 through 2021, remain subject to examination by taxing authorities.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3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4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60" w:type="dxa"/>
            <w:vAlign w:val="bottom"/>
          </w:tcPr>
          <w:p>
            <w:pPr>
              <w:jc w:val="right"/>
              <w:ind w:right="25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250"/>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060" w:type="dxa"/>
            <w:vAlign w:val="bottom"/>
          </w:tcPr>
          <w:p>
            <w:pPr>
              <w:jc w:val="right"/>
              <w:ind w:right="25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250"/>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6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Fiserv, Inc. per share - basic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6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Fiserv, Inc. per share - diluted</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and 2021, stock options for 2.2 million and 1.2 million shares, respectively, were excluded from the calculation of weighted-average outstanding shares - diluted because their impact was anti-dilutive. For the six months ended June 30, 2022 and 2021, stock options for 2.1 million and 1.4 million shares, respectively, were excluded from the calculation of weighted-average outstanding shares - diluted because their impact was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of nonmonetary assets (see Note 10)</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accruals of $24 million and $32 million at June 30, 2022 and December 31, 2021, respectively, related to its various legal proceedings, primarily associated with the Company’s merchant acquiring business and certain tax matters. The Company’s estimate of the possible range of exposure for various litigation matters in excess of amounts accrued is $0 million to approximately $50 million. In the opinion of management, the liabilities, if any, which may ultimately result from such legal proceedings are not expected to have a material adverse effect on the Company’s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$1.1 billion and $1.6 billion at June 30, 2022 and December 31, 2021,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businesses that are sold. Payments, net of recoveries, under such indemnification or warranty provisions were not material to the Company’s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primarily based on contractual pricing.</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the Company maintains a majority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$46 million and $45 million for the three months ended June 30, 2022 and 2021, respectively and $93 million and $90 million for the six months ended June 30, 2022 and 2021, respectively. No directors or officers of the Company have ownership interests in any of the alliances. The formation of each of these alliances generally involves the Company and the financial institution contributing contractual merchant relationships to the alliance and a cash payment from one owner to the other to achieve the desired ownership percentage for each. The Company and the financial institution enter into a long-term processing service agreement as part of the negotiation process. This agreement governs the Company’s provision of transaction processing services to the alliance. The Company had $37 million and $36 million of amounts due from unconsolidated merchant alliances included within trade accounts receivable, net in the consolidated balance sheets at June 30, 2022 and December 31, 2021,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Transition Services Agreements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including with InvestCloud through June 2021, totaled $5 million and $13 million during the three months ended June 30, 2022 and 2021, respectively, and $9 million and $26 million during the six months ended June 30, 2022 and 2021, respectively, and were primarily recognized as processing and services revenue in the consolidated statements of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On May 3, 2021, New Omaha Holdings L.P. (“New Omaha”), a shareholder of the Company, completed an underwritten secondary public offering of 23.0 million shares of Fiserv, Inc. common stock (the “offering”). The Company did not sell any shares in, nor did it receive any proceeds from, the offering. New Omaha received all of the net proceeds from the offering. In connection with the offering, the Company repurchased from the underwriters 5.0 million shares of its common stock that were subject to the offering, at a price equal to the price per share paid by the underwriters to New Omaha in the offering (the “share repurchase”). The share repurchase totaled $588 million and was funded with cash on hand. The repurchased shares were cancelled and no longer outstanding following the completion of the share repurchase. Prior to the offering, New Omaha owned approximately 13% of the Company’s outstanding shares of common stock. New Omaha owned less than 5% of the Company’s outstanding shares of common stock as of June 30,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Segment Information</w:t>
      </w:r>
    </w:p>
    <w:p>
      <w:pPr>
        <w:spacing w:after="0" w:line="17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Company’s operations are comprised of the Acceptance segment, the Fintech segment and the Payments segment. The businesses in the Acceptance segment provide a wide range of commerce-enabling solutions and serve merchants of all sizes around the world. These solutions include point-of-sale merchant acquiring and digital commerce services; mobile payment services; security and fraud protection products;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the Company’s omnichannel commerce ecosystem;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cloud-based point-of-sale and business management platform; and Clover Connect, the Company’s independent software vendor platform.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the Company’s other segments.</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transition services revenue associated with various dispositions, and the Company’s Output Solutions postage reimbursements.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operating income (loss)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42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524</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top w:val="single" w:sz="8" w:color="CCEEFF"/>
            </w:tcBorders>
            <w:vMerge w:val="continue"/>
          </w:tcPr>
          <w:p>
            <w:pPr>
              <w:spacing w:after="0"/>
              <w:rPr>
                <w:sz w:val="17"/>
                <w:szCs w:val="17"/>
                <w:color w:val="auto"/>
              </w:rPr>
            </w:pPr>
          </w:p>
        </w:tc>
        <w:tc>
          <w:tcPr>
            <w:tcW w:w="42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911</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2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that could cause actual results to differ materially from our current expectations. The factors that may affect our results include, among others, the following, many of which may continue to be amplified by the COVID-19 pandemic: the duration and intensity of the COVID-19 pandemic, including how quickly the global economy recovers from the impact of the pandemic; governmental and private sector responses to the COVID-19 pandemic and the impact of such responses on us; the impact of the COVID-19 pandemic on our employees, clients, vendors, supply chain, operations and sales;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including those resulting from heightened inflation, a recession, or intensified international hostilities,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included in "Risk Factors” in our Annual Report on Form 10-K for the year ended December 31, 2021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12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services and products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2021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ind w:left="660" w:right="64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contains an analysis of our results of operations presented in the accompanying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 by comparing the results for the three and six months ended June 30, 2022 to the comparable period in 2021.</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June 30, 2022.</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17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financial technology companies and corporate clients. We provide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w:t>
      </w:r>
    </w:p>
    <w:p>
      <w:pPr>
        <w:spacing w:after="0" w:line="14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aspire to move money and information in a way that moves the world by delivering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operations are comprised of the Merchant Acceptance (“Acceptance”) segment, the Financial Technology (“Fintech”) segment and the Payments and Network (“Payments”) segment.</w:t>
      </w:r>
    </w:p>
    <w:p>
      <w:pPr>
        <w:spacing w:after="0" w:line="10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businesses in our Acceptance segment provide a wide range of commerce-enabling solutions to merchants of all sizes and types around the world. These solutions include POS merchant acquiring and digital commerce services; mobile payment services; security and fraud protection products;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our omnichannel commerce ecosystem; Clover, our cloud-based POS and business management platform, which includes a marketplace for proprietary and third-party business applications; and Clover Connect, our independent software vendor (“ISV”) platform. We distribute the products and services in the global Acceptance segment businesses through a variety of channels, including direct sales teams, strategic partnerships with agent sales forces, ISVs,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4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our other segments.</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transition services revenue associated with various dispositions, and our Output Solutions postage reimbursements.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frequently review our portfolio to ensure we have the necessary business assets to execute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Acquisitions</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1, 2022, we acquired The LR2 Group, LLC (“City POS”), an independent sales organization (“ISO”) that promotes payment processing services and facilitates the sale of point-of-sale equipment for merchants. City POS is included within our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Acceptance segment and expands the reach of our merchant services business. On April 1, 2022, we acquired a remaining ownership interest in Finxact, Inc. (“Finxact”), a developer of cloud-native banking solutions powering digital transformation throughout the financial services sector. Finxact is included within our Fintech segment and advances our digital banking strategy, expanding our account processing, digital, and payments solutions. We acquired these businesses for an aggregate purchase price of approximately $671 million, net of $27 million of acquired cash.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2021 Acquisitions</w:t>
      </w:r>
    </w:p>
    <w:p>
      <w:pPr>
        <w:spacing w:after="0" w:line="17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November 22, 2021, we acquired BentoBox CMS, Inc. (“BentoBox”), a digital marketing and commerce platform that helps restaurants connect with their guests. BentoBox is included within the Acceptance segment and further expands our Clover dining solutions and commerce and business management capabilities. On November 15, 2021, we acquired a remaining ownership interest in NetPay Solutions Group (“NetPay”), a multi-channel payment service provider offering a range of capabilities around onboarding, customer lifecycle, risk management and settlement to businesses of all sizes. NetPay is included within the Acceptance segment and further expands our merchant services business. On October 1, 2021, we acquired Integrity Payments, LLC (“AIP”), an ISO that promotes payment processing services for merchants and is included within the Acceptance segment. On June 14, 2021, we acquired Spend Labs Inc. (“SpendLabs”), a mobile-native, cloud-based software provider of commercial card payment solutions. SpendLabs is included within the Payments segment and further expands our digital capabilities across mobile and desktop devices for small and mid-sized businesses. On May 4, 2021, we acquired Pineapple Payments Holdings, LLC (“Pineapple Payments”), an ISO that provides payment processing, proprietary technology, and payment acceptance solutions for merchants. Pineapple Payments is included within the Acceptance segment and expands the reach of our payment solutions through its technology- and relationship-led distribution channels. On March 1, 2021, we acquired Radius8, Inc. (“Radius8”), a provider of a platform that uses consumer location and other information to drive incremental merchant transactions. Radius8 is included within the Acceptance segment and enhances our ability to help merchants increase sales, expand mobile application registration and improve one-to-one target marketing. On January 22, 2021, we acquired a remaining ownership interest in Ondot Systems, Inc. (“Ondot”), a digital experience platform provider for financial institutions. Ondot is included within the Payments segment and further expands our digital capabilities, enhancing our suite of integrated payments, banking and merchant solutions. We acquired these businesses for an aggregate purchase price of approximately $882 million, net of $43 million of acquired cash, and including earn-out provisions at an aggregate fair value of $34 million. The results of operations for these acquired businesses are included in our consolidated results from the respective dates of acquisition.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 expectations, payments companies are focused on modernizing their technology, expanding the use of data and enhancing the customer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Merchants</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in high-growth online and mobile settings, which often requires a merchant acquiring provider to enable and optimize the acceptance of payments. Merchants are demanding simpler,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source of new merchant acquisition opportunities, especially with respect to smaller merchants.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there are numerous software-as-a-service (“SaaS”) solutions in the industry, many of which have chosen to integrate merchant acquiring within their software as a way to further monetize their client relationships. SaaS solutions that integrate payments are often referred to as ISVs, and we believe there are thousands of these potential distribution partnership opportunities available to us.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small, medium and large financial institutions, and non-financial institutions, gives us a solid foundation for growth.</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Institutions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Financial service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 which enable financial institutions to offer their customers an industry-leading digital banking experience.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the trends described above, during the past 25 years, the number of financial institutions in the United States has declined at a relatively steady rate of approximately 3% per year, primarily as a result of voluntary mergers and acquisitions.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Market Conditions</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Since early 2020, the world has been, and continues to be, impacted by the coronavirus (“COVID-19”) pandemic. The COVID-19 pandemic, and various measures imposed by the governments of many countries, states, cities and other geographic regions to prevent its spread, have negatively impacted, and may continue to negatively impact, global economic and market conditions, including levels of consumer and business spending. The environment surrounding COVID-19 and countermeasures taken to reduce its spread may impact our future performance and remains difficult to predict.</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Beginning in 2021, we began observing increasing shortages and delays in the global supply chain for components and inputs necessary to our businesses, such as semiconductors, paper and plastic, and may experience difficulty procuring those components and inputs in the future on a timely basis or at historical prices. In addition, the impacts of the macroeconomic environment, including supply chain shortages, higher inflation rates, and other global economic conditions, have impacted, and may continue to impact, our business, consumer spending and the economy as a whole.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2021,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There have been no material changes to our critical accounting policies and estimates from those disclosed in our Annual Report on Form 10-K for the year ended December 31, 2021.</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and foreign currency fluctuations.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left="692"/>
              <w:spacing w:after="0" w:line="219" w:lineRule="exact"/>
              <w:rPr>
                <w:sz w:val="20"/>
                <w:szCs w:val="20"/>
                <w:color w:val="auto"/>
              </w:rPr>
            </w:pPr>
            <w:r>
              <w:rPr>
                <w:rFonts w:ascii="Times New Roman" w:cs="Times New Roman" w:eastAsia="Times New Roman" w:hAnsi="Times New Roman"/>
                <w:sz w:val="16"/>
                <w:szCs w:val="16"/>
                <w:b w:val="1"/>
                <w:bCs w:val="1"/>
                <w:color w:val="auto"/>
                <w:w w:val="96"/>
              </w:rPr>
              <w:t xml:space="preserve">Revenue </w:t>
            </w:r>
            <w:r>
              <w:rPr>
                <w:rFonts w:ascii="Times New Roman" w:cs="Times New Roman" w:eastAsia="Times New Roman" w:hAnsi="Times New Roman"/>
                <w:sz w:val="21"/>
                <w:szCs w:val="21"/>
                <w:b w:val="1"/>
                <w:bCs w:val="1"/>
                <w:color w:val="auto"/>
                <w:w w:val="96"/>
                <w:vertAlign w:val="superscript"/>
              </w:rPr>
              <w:t>(1)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3"/>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78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1160" w:type="dxa"/>
            <w:vAlign w:val="bottom"/>
          </w:tcPr>
          <w:p>
            <w:pPr>
              <w:jc w:val="right"/>
              <w:ind w:right="411"/>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from</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from investments in unconsolidated affiliates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60" w:right="240" w:hanging="328"/>
        <w:spacing w:after="0" w:line="225"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5"/>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280" w:type="dxa"/>
            <w:vAlign w:val="bottom"/>
          </w:tcPr>
          <w:p>
            <w:pPr>
              <w:spacing w:after="0"/>
              <w:rPr>
                <w:sz w:val="13"/>
                <w:szCs w:val="13"/>
                <w:color w:val="auto"/>
              </w:rPr>
            </w:pPr>
          </w:p>
        </w:tc>
        <w:tc>
          <w:tcPr>
            <w:tcW w:w="202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gridSpan w:val="3"/>
          </w:tcPr>
          <w:p>
            <w:pPr>
              <w:jc w:val="center"/>
              <w:ind w:left="692"/>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Revenue </w:t>
            </w:r>
            <w:r>
              <w:rPr>
                <w:rFonts w:ascii="Times New Roman" w:cs="Times New Roman" w:eastAsia="Times New Roman" w:hAnsi="Times New Roman"/>
                <w:sz w:val="21"/>
                <w:szCs w:val="21"/>
                <w:b w:val="1"/>
                <w:bCs w:val="1"/>
                <w:color w:val="auto"/>
                <w:w w:val="96"/>
                <w:vertAlign w:val="superscript"/>
              </w:rPr>
              <w:t>(1)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780" w:type="dxa"/>
            <w:vAlign w:val="bottom"/>
          </w:tcPr>
          <w:p>
            <w:pPr>
              <w:jc w:val="right"/>
              <w:ind w:right="251"/>
              <w:spacing w:after="0" w:line="136" w:lineRule="exact"/>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1"/>
              <w:spacing w:after="0" w:line="136" w:lineRule="exact"/>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3"/>
                <w:szCs w:val="13"/>
                <w:color w:val="auto"/>
              </w:rPr>
            </w:pPr>
          </w:p>
        </w:tc>
        <w:tc>
          <w:tcPr>
            <w:tcW w:w="11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310"/>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160" w:type="dxa"/>
            <w:vAlign w:val="bottom"/>
          </w:tcPr>
          <w:p>
            <w:pPr>
              <w:jc w:val="right"/>
              <w:ind w:right="410"/>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sale of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from</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investments in unconsolidated affiliates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right="240" w:hanging="328"/>
        <w:spacing w:after="0" w:line="232"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3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Fintech</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1,901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803</w:t>
            </w: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1,518</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4,450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754</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1,421</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4,051</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97</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281</w:t>
            </w: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662</w:t>
            </w:r>
          </w:p>
        </w:tc>
        <w:tc>
          <w:tcPr>
            <w:tcW w:w="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Operating income growth</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percentage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Operating margin (decline)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xml:space="preserve">growth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4"/>
                <w:szCs w:val="24"/>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320" w:type="dxa"/>
            <w:vAlign w:val="bottom"/>
          </w:tcPr>
          <w:p>
            <w:pPr>
              <w:spacing w:after="0"/>
              <w:rPr>
                <w:sz w:val="24"/>
                <w:szCs w:val="24"/>
                <w:color w:val="auto"/>
              </w:rPr>
            </w:pP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(120)</w:t>
            </w:r>
          </w:p>
        </w:tc>
        <w:tc>
          <w:tcPr>
            <w:tcW w:w="8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w w:val="95"/>
              </w:rPr>
              <w:t>bps</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w w:val="95"/>
              </w:rPr>
              <w:t>bps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340</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Fintech</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3,554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1,581</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2,980</w:t>
            </w: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8,588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3,063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1,490</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2,826</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7,806</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91</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154</w:t>
            </w: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556</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1,280</w:t>
            </w: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1,706</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1,207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(1,518)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73</w:t>
            </w:r>
          </w:p>
        </w:tc>
        <w:tc>
          <w:tcPr>
            <w:tcW w:w="7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587</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Operating income growth</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percentage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4"/>
                <w:szCs w:val="24"/>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bps</w:t>
            </w:r>
          </w:p>
        </w:tc>
        <w:tc>
          <w:tcPr>
            <w:tcW w:w="320" w:type="dxa"/>
            <w:vAlign w:val="bottom"/>
          </w:tcPr>
          <w:p>
            <w:pPr>
              <w:spacing w:after="0"/>
              <w:rPr>
                <w:sz w:val="24"/>
                <w:szCs w:val="24"/>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bps</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bps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560</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or decline in operating margin.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increased $399 million, or 10%, in the second quarter of 2022 and $782 million, or 10%, in the first six months of 2022 compared to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increase was driven by higher processing revenue and product sales across all of our business segments.</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 in our Acceptance segment increased $235 million, or 14%, in the second quarter of 2022 and $491 million, or 16%, in the first six months of 2022 compared to 2021. The revenue increase was driven by higher global merchant acquiring payment and transaction volumes, including an increase in global accounts and locations from small and mid-sized businesses to enterprise merchants and ISVs.</w:t>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in our Fintech segment increased $49 million, or 6%, in the second quarter of 2022 and $91 million, or 6%, in the first six months of 2022 compared to 2021. The revenue increase was primarily driven by higher processing revenue across our Fintech businesses of 2% and 3%, in the second quarter and first six months of 2022, respectively, while license and termination fee revenue contributed 2% to segment revenue growth both in the second quarter and first six months of 2022.</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Revenue in our Payments segment increased $97 million, or 7%, in the second quarter of 2022 and $154 million, or 5%, in the first six months of 2022 compared to 2021. In both the second quarter and first six months of 2022, our debit processing business contributed 3% to Payments revenue growth and our output solutions business contributed 2%, primarily driven by new client growth. Our credit processing business contributed 1% in both the second quarter and first six months of 2022, primarily driven by an increase in active accounts.</w:t>
      </w:r>
    </w:p>
    <w:p>
      <w:pPr>
        <w:spacing w:after="0" w:line="12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$18 million, or 9%, in the second quarter of 2022 and $46 million, or 11%, in the first six months of 2022 compared to 2021, primarily due to increased postage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Total expenses increased $183 million, or 5%, in the second quarter of 2022 and $195 million, or 3%, in the first six months of 2022 compared to 2021. Total expenses as a percentage of total revenue decreased 340 basis points to 80.7% in the second quarter of 2022 and 560 basis points to 80.1% in the first six months of 2022 compared to 2021. Total expenses as a percentage of total revenue were favorably impacted in the second quarter and first six months of 2022 by a $109 million and $212 million, respectively, reduction in acquisition and integration related expense. Total expenses as a percentage of total revenue for the first six months of 2022 were also favorably impacted by operating leverage accompanying scalable revenue growth and a $147 million pre-tax gain associated with the sale of certain merchant contracts of a joint venture. The favorable impact was partially offset in the second quarter and first six months of 2022 by increased costs associated with our continued investment in our businesses for growth.</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decreased to 40.6% in the second quarter of 2022 compared to 44.6% in the second quarter of 2021 and decreased to 41.6% in the first six months of 2022 compared to 45.1% in the first six months of 2021. Cost of processing and services as a percentage of processing and services revenue was favorably impacted in the second quarter and first six months of 2022 by a reduction in acquisition and integration related expenses of approximately 230 basis points and 220 basis points, respectively, as well as strong operating leverage across our businesses. The favorable impact was partially offset by an increase in severance costs of 60 basis points and 80 basis points in the second quarter and first six months of 2022, as well as an increase in costs associated with our continued investment in the business, in both the second quarter and first six months of 2022.</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product as a percentage of product revenue increased to 71.9% in the second quarter of 2022 compared to 68.0% in the second quarter of 2021 and increased to 70.5% in the first six months of 2022 compared to 70.4% in the first six months of 2021. Compared to the prior year period, the cost of product as a percentage of product revenue was generally consistent during the first six months of 2022, while the cost of product as a percentage of product revenue during the second quarter of 2022 increased as a result of increased lower margin postage revenue.</w:t>
      </w:r>
    </w:p>
    <w:p>
      <w:pPr>
        <w:spacing w:after="0" w:line="12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decreased to 34.7% in the second quarter of 2022 compared to 35.5% in the second quarter of 2021 and decreased to 35.1% in the first six months of 2022 compared to 36.0% in the first six months of 2021. The decrease in selling, general and administrative expenses as a percentage of total revenue in the second quarter and first six months of 2022 was primarily due to a reduction in amortization of acquisition-related intangible assets of approximately 100 basis points in both the second quarter and first six months of 2022.</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$147 million pre-tax gain on sale of assets in the first six months of 2022 resulted from the sale of certain merchant contracts in conjunction with the mutual termination of one of our merchant alliance joint ventures.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Total operating income increased $216 million, or 34%, in the second quarter of 2022 and $587 million, or 52%, in the first six months of 2022 compared to 2021. Total operating margin increased 340 basis points to 19.3% in the second quarter of 2022 and 560 basis points to 19.9% in the first six months of 2022 compared to 2021. Total operating income and total operating margin benefited from revenue growth in the second quarter and first six months of 2022, along with a reduction in acquisition and integration related expenses. Total operating income and total operating margin were also favorably impacted by a $147 million pre-tax gain on the sale of certain merchant contracts of a joint venture in the first six months of 2022. Total operating margin in the second quarter of 2022 was slightly offset by costs associated with our continued investments in our businesses for growth and higher costs due to inflation.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income in our Acceptance segment increased $69 million, or 13%, in the second quarter of 2022 and $152 million, or 17%, in the first six months of 2022 compared to 2021. Operating margin was relatively consistent in both the second quarter and first six months of 2022 compared to 2021. Acceptance segment operating income growth in the first six months of 2022 was primarily due to revenue growth.</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income in our Fintech segment increased $8 million, or 3%, in the second quarter of 2022 and $37 million, or 7%, in the first six months of 2022 compared to 2021. Operating margin decreased 120 basis points to 35.0% in the second quarter of 2022 and increased 30 basis points to 35.2% in the first six months of 2022 compared to 2021. Operating income and margin were favorably impacted from an increase in license and termination fee revenue in the first six months of 2022. Operating margin in the second quarter of 2022 was reduced by increased costs related to our continuing investment in the business, including an impact of 90 basis points related to the recent acquisition of Finxact.</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Operating income in our Payments segment increased $33 million, or 5%, in the second quarter of 2022 and $73 million, or 6%, in the first six months of 2022 compared to 2021. Operating margin decreased 70 basis points to 43.6% in the second quarter of 2022 and increased 20 basis points to 42.9% in the first six months of 2022 compared to 2021. Payments segment operating margin in the second quarter was primarily reduced by an increase in the lower margin output solutions business and higher costs due to inflation. Payments segment operating income and margin growth in the first six months of 2022 was primarily due to scalable revenue growth from our debit processing business.</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operating loss in Corporate and Other decreased $106 million in the second quarter of 2022 and $325 million in the first six months of 2022 compared to 2021. Corporate and Other was favorably impacted by a reduction in acquisition and integration related expenses and a $147 million pre-tax gain associated with the sale of certain merchant contracts of a joint venture.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expense, net was relatively consistent in the second quarter of 2022 and decreased $7 million, or 2%, in the first six months of 2022 compared to 2021 primarily due to lower-rate commercial paper borrowings.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(expense) increased $92 million in the first six months of 2022 compared to 2021. Other (expense) income includes net foreign currency transaction gains and losses, gains or losses from a change in fair value of investments in certain equity securities, and amounts related to debt guarantee arrangements of certain joint ventures. Net foreign currency transaction (losses) gains were ($18) million and $1 million in the first six months of 2022 and 2021, respectively. Other (expense) in the first six months of 2022 also included net pre-tax expense of $59 million associated with joint venture debt guarantees. Other income in the first six months of 2021 included $12 million related to a pre-tax gain on the remeasurement of a previously held investment in Ondot to fair value upon acquiring the remaining ownership interest in the entity.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Income tax provision as a percentage of income before income taxes and income from investments in unconsolidated affiliates was 22.2% and 48.5% in the second quarter of 2022 and 2021, respectively, and was 18.2% and 31.1% for the first six months of 2022 and 2021, respectively. For the three months ended June 30, 2021, the effective tax rate included $134 million of income tax expense attributed to the revaluation of certain net deferred tax liabilities, primarily related to intangible assets and investments in joint ventures recognized at fair value in connection with the acquisition of First Data, reflecting the effect of enacted corporate income tax rate changes in the United Kingdom (tax rate increase from 19% to 25% starting in 2023) and Argentina (tax rate increase from 25% to 35%).</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each of the six months ended June 30, 2022 and 2021 includes discrete tax benefits from subsidiary restructurings and equity compensation related tax benefits. The effective income tax rate for the six months ended June 30, 2021 also included the impact of the revaluation of certain net deferred tax liabilities described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Investments in Unconsolidated Affiliates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share of net income from affiliates accounted for using the equity method is reported as income from investments in unconsolidated affiliates and the related tax expense is reported within the income tax provision in the consolidated statements of income. Income from investments in unconsolidated affiliates, including acquired intangible asset amortization from valuations in purchase accounting, was $128 million and $42 million in the second quarter of 2022 and 2021, respectively, and $234 million and $58 million in the first six months of 2022 and 2021,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Income from investments in unconsolidated affiliates in the first six months of 2022 includes pre-tax gains totaling $209 million primarily related to the acquisition-date fair value remeasurement of our previously held equity interest in Finxact of $110 million, as well as $80 million resulting from the dilution of our ownership interest in conjunction with the Sagent, M&amp;C, LLC transaction with a third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party. Income from investments in unconsolidated affiliates in the first six months of 2021 included a $33 million pre-tax gain resulting from the sale of our remaining ownership interest in InvestCloud, as well as a $28 million pre-tax gain resulting from the dilution of our ownership interest in connection with the Tegra118 merger with a third party.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$11 million and $15 million in the second quarter of 2022 and 2021, respectively, and $24 million and $29 million in the first six months of 2022 and 2021,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$0.92 and $0.40 in the second quarter of 2022 and 2021, respectively, and was $1.94 and $0.85 in the first six months of 2022 and 2021, respectively. Net income attributable to Fiserv, Inc. per share-diluted in the first six months of 2022 includes a $110 million pre-tax gain from the acquisition-date fair value remeasurement of our previously held equity interest in Finxact. Net income attributable to Fiserv, Inc. per share-diluted in the first six months of 2021 included $134 million of certain discrete tax expenses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term and the long term using cash flow generated by our operations, along with our cash and cash equivalents of $883 million, proceeds from the issuance of U.S. dollar and Euro commercial paper, and available capacity (as further discussed within the Indebtedness section below) under our revolving credit facility of $3.6 billion (net of $2.4 billion of capacity designated for outstanding borrowings under our commercial paper programs and letters of credit) at June 30,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cash flow and capital expenditure amounts for the six months ended June 30, 2022 and 2021,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18"/>
                <w:szCs w:val="18"/>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net cash provided by operating activities, or operating cash flow, was $1.8 billion in the first six months of 2022, a decrease of 10% compared with $2.0 billion in the first six months of 2021. This decrease was primarily attributable to higher working capital use compared to the prior period, including increased accounts receivable corresponding to revenue growth, partially offset by improved operating results.</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share repurchases, acquisitions and to repay debt rather than to pay dividends. Our capital expenditures were approximately 8% and 6% of our total revenue for the first six months of 2022 and 2021, respectively.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repurchased $1.0 billion and $1.2 billion (including the repurchase described below) of our common stock during the first six months of 2022 and 2021, respectively. As of June 30, 2022, we had approximately 32.1 million shares remaining under our current repurchase authorization. Shares repurchased are generally held for issuance in connection with our equity plans.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May 2021, New Omaha Holdings L.P. (“New Omaha”), a shareholder of ours, completed an underwritten secondary public offering of 23.0 million shares of our common stock (the “offering”). We repurchased from the underwriters 5.0 million shares of our common stock that were subject to the offering. The share repurchase totaled $588 million and was funded with cash on hand. The repurchased shares were cancelled and no longer outstanding following the completion of the share repurchase.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17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June 2022, we acquired City POS and, in April 2022, we acquired a remaining ownership interest in Finxact. We acquired these businesses for an aggregate purchase price of approximately $671 million, net of $27 million of acquired cash. We funded these acquisitions by utilizing a combination of available cash and commercial paper notes.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2021 we acquired BentoBox, in October 2021 we acquired AIP, in June 2021 we acquired SpendLabs, in May 2021 we acquired Pineapple Payments, and in March 2021 we acquired Radius8. Additionally, in November 2021, we acquired a remaining ownership interest in NetPay, and in January 2021, we acquired a remaining ownership interest in Ondot, in which we previously held noncontrolling equity interests. We acquired these businesses for an aggregate purchase price of $882 million, net of $43 million of acquired cash, and including earn-out provisions at an aggregate fair value of $34 million. We funded these acquisitions by utilizing a combination of available cash, commercial paper notes and existing availability under our revolving credit facility. The results of operations for these acquired businesses are included in our consolidated results from the respective dates of acquisition.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Dispositions</w:t>
      </w:r>
    </w:p>
    <w:p>
      <w:pPr>
        <w:spacing w:after="0" w:line="17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March 2022, we mutually agreed to terminate a merchant alliance joint venture with a minority partner. Upon termination of the joint venture, we received proceeds of $175 million from the sale of certain merchant contracts.</w:t>
      </w:r>
    </w:p>
    <w:p>
      <w:pPr>
        <w:spacing w:after="0" w:line="12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previously maintained a noncontrolling interest in Tegra118, LLC (“Tegra118”) which was accounted for under the equity method. In February 2021, Tegra118 completed a merger with a third party, resulting in a dilution of our ownership interest in the combined new entity, Wealthtech Holdings, LLC, which was subsequently renamed as InvestCloud. In connection with the transaction, we made an additional capital contribution, funded under our revolving credit facility, of $200 million into the combined entity and, in June 2021, we sold our entire ownership interest in InvestCloud for $466 million. The net proceeds from the sale were primarily used to pay down outstanding borrowings on our term loan facility.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Pr>
          <w:p>
            <w:pPr>
              <w:spacing w:after="0"/>
              <w:rPr>
                <w:sz w:val="16"/>
                <w:szCs w:val="16"/>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lines of credit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20" w:type="dxa"/>
            <w:vAlign w:val="bottom"/>
          </w:tcPr>
          <w:p>
            <w:pPr>
              <w:spacing w:after="0"/>
              <w:rPr>
                <w:sz w:val="19"/>
                <w:szCs w:val="19"/>
                <w:color w:val="auto"/>
              </w:rPr>
            </w:pPr>
          </w:p>
        </w:tc>
        <w:tc>
          <w:tcPr>
            <w:tcW w:w="7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3.500% senior notes due October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 securitized loan</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June 30, 2022, our debt consisted primarily of $17.5 billion of fixed-rate senior notes and $2.4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and interest on our term loan is paid monthly. Outstanding borrowings under our 3.50% senior notes due in October 2022, the receivable securitized loan, which matures in July 2022, and U.S dollar and Euro commercial paper programs are classified in the consolidated balance sheet as long-term, as we have the intent to refinance these borrowings on a long-term basis through the continued issuance of new commercial paper notes upon maturity, and we also have the ability to refinance such borrowings under our revolving credit facility, as further discussed below.</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June 2022, we entered into a new senior unsecured multicurrency revolving credit facility with substantially the same syndicate of banks that were lenders under our existing amended and restated revolving credit facility, which we voluntarily terminated and replaced. The new credit agreement matures in June 2027 and provides for a maximum aggregate principal amount of availability of $6.0 billion.</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leaseback transactions. We may, at our option, redeem the senior notes, in whole or in part, at any time prior to the applicable maturity date.</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new revolving credit facility contains various restrictions and covenants that require us, among other things, to limit our consolidated indebtedness as of the end of each fiscal quarter to no more than 3.75 times our consolidated net income before interest, taxes, depreciation, amortization, non-cash charges and expenses and certain other adjustments (“EBITDA”) during the period of four fiscal quarters then ended, subject to certain exceptions.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term loan facility contains various restrictions and covenants that require us to, among other things, (i) limit our consolidated indebtedness as of the end of each fiscal quarter to no more than 3.5 times our EBITDA during the period of four fiscal quarters then ended, subject to certain exceptions, and (ii) maintain EBITDA of at least 3.0 times our consolidated interest expense as of the end of each fiscal quarter for the period of four fiscal quarters then ended.</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2022,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22"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Effective July 1, 2022, we redeemed $700 million in aggregate principal amount of our outstanding 3.50% senior notes due in October 2022 at a redemption price equal to 100% of the aggregate principal amount of the notes being redeemed, plus accrued and unpaid interest. We financed the redemption of these notes using proceeds from the issuance of U.S. dollar commercial paper.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June 30, 2022:</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4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30.81%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securitized loan</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2024</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maintain short-term lines of credit with foreign banks and alliance partners primarily to fund settlement activity. These arrangements are primarily associated with our international operations and are in various functional currencies, the most significant of which is the Argentine peso.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U.S. dollar and Euro unsecured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discussed above, we maintain a revolving credit facility with aggregate commitments available for $6.0 billion of total capacity. U.S. dollar borrowings under the credit facility bear interest at a variable rate based on the Secured Overnight Financing Rate (SOFR) or a base rate in the case of U.S. dollar borrowings, in each case plus a specified margin based on our long-term debt rating in effect from time to time. We are required to pay a facility fee based on the aggregate commitments in effect under the credit agreement from time to time.</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First Data Receivables, LLC (“FDR”), a consolidated wholly-owned subsidiary, is a party to certain receivables financing arrangements, including an agreement (“Receivables Financing Agreement”) with certain financial institutions and other persons from time to time party thereto as lenders and group agents. Pursuant to the Receivables Financing Agreement, certain of our wholly-owned subsidiaries have agreed to transfer and contribute receivables to FDR, and FDR may borrow funds secured by liens on those receivables. FDR’s assets are not available to satisfy the obligations of any other of our entities or affiliates, and FDR’s creditors would be entitled, upon its liquidation, to be satisfied out of FDR’s assets prior to any assets or value in FDR becoming available to us. FDR held $1.2 billion in receivables as part of the securitization program, and utilized the receivables as collateral in borrowings of $485 million at June 30, 2022. Outstanding borrowings bear interest at a variable rate based on one-month LIBOR plus a specified margin. At June 30, 2022, the collateral capacity under the Receivables Financing Agreement was $900 million, and the maximum borrowing capacity was $500 million. On July 25, 2022, Fiserv</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repaid all amounts outstanding under this facility with proceeds from its commercial paper program and terminated the Receivables Financing Agreement.</w:t>
      </w:r>
    </w:p>
    <w:p>
      <w:pPr>
        <w:spacing w:after="0" w:line="17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maintain a term loan credit agreement with a syndicate of financial institutions. Outstanding borrowings under the term loan bear interest at a variable rate based on one-month LIBOR or a base rate, in each case plus a specified margin based on our long-term debt rating in effect from time to time.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three months or less that are readily convertible to cash are considered to be cash equivalents as reflected within our consolidated balance sheets. At June 30, 2022 and December 31, 2021, we held $883 million and $835 million in cash and cash equivalents,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cash and cash equivalents at: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2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Domestic</w:t>
            </w:r>
          </w:p>
        </w:tc>
        <w:tc>
          <w:tcPr>
            <w:tcW w:w="160" w:type="dxa"/>
            <w:vAlign w:val="bottom"/>
          </w:tcPr>
          <w:p>
            <w:pPr>
              <w:spacing w:after="0"/>
              <w:rPr>
                <w:sz w:val="13"/>
                <w:szCs w:val="13"/>
                <w:color w:val="auto"/>
              </w:rPr>
            </w:pPr>
          </w:p>
        </w:tc>
        <w:tc>
          <w:tcPr>
            <w:tcW w:w="13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00" w:type="dxa"/>
            <w:vAlign w:val="bottom"/>
          </w:tcPr>
          <w:p>
            <w:pPr>
              <w:spacing w:after="0"/>
              <w:rPr>
                <w:sz w:val="13"/>
                <w:szCs w:val="13"/>
                <w:color w:val="auto"/>
              </w:rPr>
            </w:pPr>
          </w:p>
        </w:tc>
        <w:tc>
          <w:tcPr>
            <w:tcW w:w="10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Domestic</w:t>
            </w:r>
          </w:p>
        </w:tc>
        <w:tc>
          <w:tcPr>
            <w:tcW w:w="180" w:type="dxa"/>
            <w:vAlign w:val="bottom"/>
          </w:tcPr>
          <w:p>
            <w:pPr>
              <w:spacing w:after="0"/>
              <w:rPr>
                <w:sz w:val="13"/>
                <w:szCs w:val="13"/>
                <w:color w:val="auto"/>
              </w:rPr>
            </w:pPr>
          </w:p>
        </w:tc>
        <w:tc>
          <w:tcPr>
            <w:tcW w:w="13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00" w:type="dxa"/>
            <w:vAlign w:val="bottom"/>
          </w:tcPr>
          <w:p>
            <w:pPr>
              <w:spacing w:after="0"/>
              <w:rPr>
                <w:sz w:val="13"/>
                <w:szCs w:val="13"/>
                <w:color w:val="auto"/>
              </w:rPr>
            </w:pPr>
          </w:p>
        </w:tc>
        <w:tc>
          <w:tcPr>
            <w:tcW w:w="10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660" w:right="420" w:hanging="328"/>
        <w:spacing w:after="0" w:line="225"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to certain market risks, primarily from fluctuations in interest rates and foreign currency exchange rates. Our senior management actively monitors these risks.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including discussion of risks and potential risks of the COVID-19 pandemic on our business, is included within Item 7A of our Annual Report on Form 10-K for the year ended December 31, 2021. There were no significant changes to our quantitative and qualitative analyses about market risk during the six months ended June 30,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June 30,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2022, we implemented SAP S/4HANA, an Enterprise Resource Planning (“ERP”) platform, for our businesses in North America and certain non-U.S. locations to further integrate and upgrade our ERP financial reporting system. In connection with this implementation, we have made enhancements to our processes and procedures which have resulted in changes to our internal control over financial reporting to align with the upgraded system functionality. There were no other changes in internal control over financial reporting that occurred during the three months ended June 30, 2022 that have materially affected, or are reasonably likely to materially affect, our internal control over financial reporting.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of shares of our common stock during the three months ended June 30,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7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1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1-30, 2022</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1,690,000</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35,515,100</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1-31,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2,240,000</w:t>
            </w:r>
          </w:p>
        </w:tc>
        <w:tc>
          <w:tcPr>
            <w:tcW w:w="21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33,275,100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1-30,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1,172,303</w:t>
            </w:r>
          </w:p>
        </w:tc>
        <w:tc>
          <w:tcPr>
            <w:tcW w:w="2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32,102,797</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5,102,303</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right="60" w:hanging="328"/>
        <w:spacing w:after="0" w:line="22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November 19, 2020, our board of directors authorized the purchase of up to 60.0 million shares of our common stock. This authorization does not expire.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52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70"/>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20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2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spacing w:after="0"/>
              <w:rPr>
                <w:sz w:val="22"/>
                <w:szCs w:val="22"/>
                <w:color w:val="auto"/>
              </w:rPr>
            </w:pPr>
          </w:p>
        </w:tc>
        <w:tc>
          <w:tcPr>
            <w:tcW w:w="3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Non-Employee Director Compensation Schedule*</w:t>
            </w:r>
          </w:p>
        </w:tc>
        <w:tc>
          <w:tcPr>
            <w:tcW w:w="55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tcPr>
          <w:p>
            <w:pPr>
              <w:spacing w:after="0"/>
              <w:rPr>
                <w:sz w:val="24"/>
                <w:szCs w:val="24"/>
                <w:color w:val="auto"/>
              </w:rPr>
            </w:pPr>
          </w:p>
        </w:tc>
        <w:tc>
          <w:tcPr>
            <w:tcW w:w="9200" w:type="dxa"/>
            <w:vAlign w:val="bottom"/>
            <w:gridSpan w:val="9"/>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Credit Agreement, dated as of June 16, 2022, among Fiserv, Inc., JPMorgan Chase Bank, N.A., as administrative agent, and the</w:t>
              </w:r>
            </w:hyperlink>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1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financial institutions party thereto (1)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7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2002</w:t>
            </w:r>
          </w:p>
        </w:tc>
        <w:tc>
          <w:tcPr>
            <w:tcW w:w="98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37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71" w:lineRule="exact"/>
        <w:rPr>
          <w:sz w:val="20"/>
          <w:szCs w:val="20"/>
          <w:color w:val="auto"/>
        </w:rPr>
      </w:pPr>
    </w:p>
    <w:p>
      <w:pPr>
        <w:jc w:val="right"/>
        <w:ind w:left="5540" w:right="5480" w:hanging="5532"/>
        <w:spacing w:after="0" w:line="923" w:lineRule="auto"/>
        <w:tabs>
          <w:tab w:leader="none" w:pos="1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a management contract or compensatory plan or arrangement.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hanging="8"/>
        <w:spacing w:after="0" w:line="253" w:lineRule="auto"/>
        <w:tabs>
          <w:tab w:leader="none" w:pos="5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Income for the three and six months ended June 30, 2022 and 2021, (ii) the Consolidated Statements of Comprehensive Income for the three and six months ended June 30, 2022 and 2021, (iii) the Consolidated Balance Sheets at June 30, 2022 and December 31, 2021, (iv) the Consolidated Statements of Cash Flows for the six months ended June 30, 2022 and 2021, and (v) 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Previously filed as an exhibit to the Company’s Current Report on Form 8-K filed on June 21, 2022,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27, 2022</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27, 2022</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750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SCHEDULE</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7"/>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Overview</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our annual non-employee director compensation is provided below:</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Equity Grant</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r>
      <w:tr>
        <w:trPr>
          <w:trHeight w:val="257"/>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 Fee</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56"/>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Lead Director Fee</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57"/>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Committee Fee</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57"/>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Committee Chair Fee – Nominating and Corporate Governance; Talent and Compensation</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57"/>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Committee Chair Fee – Audit; Risk</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bl>
    <w:p>
      <w:pPr>
        <w:spacing w:after="0" w:line="26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Upon being elected or re-elected as: (i) a director, each non-employee director receives such number of restricted stock units as is determined by dividing $210,000 by the closing price of our common stock on the grant date; and (ii) Lead Director, the Lead Director receives such number of restricted stock units as is determined by dividing $75,000 by the closing price of our common stock on the grant date. The lead director fee is in addition to the standard board fee and annual equity grant, and the committee chair fees are in addition to the base committee fee.</w:t>
      </w:r>
    </w:p>
    <w:p>
      <w:pPr>
        <w:spacing w:after="0" w:line="12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Restricted stock units vest 100% on the earlier of (i) the first anniversary of the grant date or (ii) immediately prior to the first annual meeting of shareholders following the grant date. Committee fees are payable with respect to each committee on which a director serves. All cash fees are payable quarterly in arrears.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Deferred Compensation Plan</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our non-employee director deferred compensation plan, each non-employee director may defer up to 100% of his or her cash fees. Based on his or her deferral election, the director is credited with a number of share units at the time he or she would have otherwise received the portion of the fees being deferred. In addition, each non-employee director may defer receipt of up to 100% of shares due upon vesting of restricted stock units, and based on his or her election, the director is credited with one share unit for the receipt of each such share that is deferred. Share units are equivalent to shares of our common stock except that share units have no voting rights.</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Upon cessation of service on the board, the director receives a share of our common stock for each share unit. Directors elect whether the shares are received in a lump sum distribution or in annual installments over two to fifteen years, and any fractional share units are paid in cash. Share units credited to a director’s account are considered awards granted under the Amended and Restated Fiserv, Inc. 2007 Omnibus Incentive Plan and count against that plan’s share reserve.</w:t>
      </w:r>
    </w:p>
    <w:p>
      <w:pPr>
        <w:sectPr>
          <w:pgSz w:w="11900" w:h="16838" w:orient="portrait"/>
          <w:cols w:equalWidth="0" w:num="1">
            <w:col w:w="11240"/>
          </w:cols>
          <w:pgMar w:left="320" w:top="141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July 27,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Frank J. Bisignano</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July 27,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Robert W. Hau</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June 30, 2022 as filed with the Securities and Exchange Commission on the date hereof (the “Report”), Frank J. Bisignano, as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124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29"/>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2022</w:t>
            </w:r>
          </w:p>
        </w:tc>
      </w:tr>
      <w:tr>
        <w:trPr>
          <w:trHeight w:val="62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124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0"/>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2022</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lvl w:ilvl="1">
      <w:lvlJc w:val="left"/>
      <w:lvlText w:val="(%2)"/>
      <w:numFmt w:val="lowerRoman"/>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1" Type="http://schemas.openxmlformats.org/officeDocument/2006/relationships/hyperlink" Target="https://www.sec.gov/Archives/edgar/data/798354/000119312522177734/d3695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2022-07-27T07:04:47Z</dcterms:created>
  <dcterms:modified xsi:type="dcterms:W3CDTF">2022-07-27T07:04:47Z</dcterms:modified>
</cp:coreProperties>
</file>