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48895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109855</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4" w:lineRule="exact"/>
        <w:rPr>
          <w:sz w:val="24"/>
          <w:szCs w:val="24"/>
          <w:color w:val="auto"/>
        </w:rPr>
      </w:pPr>
    </w:p>
    <w:p>
      <w:pPr>
        <w:ind w:left="660" w:right="200" w:hanging="634"/>
        <w:spacing w:after="0" w:line="217" w:lineRule="auto"/>
        <w:tabs>
          <w:tab w:leader="none" w:pos="66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180" w:hanging="634"/>
        <w:spacing w:after="0" w:line="217" w:lineRule="auto"/>
        <w:tabs>
          <w:tab w:leader="none" w:pos="66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128905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2"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1"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3960" w:type="dxa"/>
            <w:vAlign w:val="bottom"/>
          </w:tcPr>
          <w:p>
            <w:pPr>
              <w:jc w:val="center"/>
              <w:ind w:right="19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5" w:lineRule="exact"/>
              <w:rPr>
                <w:sz w:val="20"/>
                <w:szCs w:val="20"/>
                <w:color w:val="auto"/>
              </w:rPr>
            </w:pPr>
            <w:r>
              <w:rPr>
                <w:rFonts w:ascii="Arial" w:cs="Arial" w:eastAsia="Arial" w:hAnsi="Arial"/>
                <w:sz w:val="14"/>
                <w:szCs w:val="14"/>
                <w:b w:val="1"/>
                <w:bCs w:val="1"/>
                <w:color w:val="auto"/>
                <w:w w:val="97"/>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50" w:lineRule="exact"/>
        <w:rPr>
          <w:sz w:val="24"/>
          <w:szCs w:val="24"/>
          <w:color w:val="auto"/>
        </w:rPr>
      </w:pPr>
    </w:p>
    <w:p>
      <w:pPr>
        <w:ind w:right="120"/>
        <w:spacing w:after="0" w:line="24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592455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ind w:right="154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r>
        <w:rPr>
          <w:rFonts w:ascii="Arial" w:cs="Arial" w:eastAsia="Arial" w:hAnsi="Arial"/>
          <w:sz w:val="17"/>
          <w:szCs w:val="17"/>
          <w:color w:val="auto"/>
        </w:rPr>
        <w:t xml:space="preserve"> As of July 23, 2021, there were 662,204,715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317500</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Financial Statements (Unaudited)</w:t>
              </w:r>
            </w:hyperlink>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Income</w:t>
              </w:r>
            </w:hyperlink>
          </w:p>
        </w:tc>
        <w:tc>
          <w:tcPr>
            <w:tcW w:w="6460" w:type="dxa"/>
            <w:vAlign w:val="bottom"/>
            <w:gridSpan w:val="7"/>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(Loss)</w:t>
              </w:r>
            </w:hyperlink>
          </w:p>
        </w:tc>
        <w:tc>
          <w:tcPr>
            <w:tcW w:w="4780" w:type="dxa"/>
            <w:vAlign w:val="bottom"/>
            <w:gridSpan w:val="2"/>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Balance Sheets</w:t>
              </w:r>
            </w:hyperlink>
          </w:p>
        </w:tc>
        <w:tc>
          <w:tcPr>
            <w:tcW w:w="6940" w:type="dxa"/>
            <w:vAlign w:val="bottom"/>
            <w:gridSpan w:val="9"/>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w:t>
              </w:r>
            </w:hyperlink>
          </w:p>
        </w:tc>
        <w:tc>
          <w:tcPr>
            <w:tcW w:w="6160" w:type="dxa"/>
            <w:vAlign w:val="bottom"/>
            <w:gridSpan w:val="6"/>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880" w:type="dxa"/>
            <w:vAlign w:val="bottom"/>
            <w:gridSpan w:val="5"/>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72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41</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Controls and Procedures</w:t>
              </w:r>
            </w:hyperlink>
          </w:p>
        </w:tc>
        <w:tc>
          <w:tcPr>
            <w:tcW w:w="7580" w:type="dxa"/>
            <w:vAlign w:val="bottom"/>
            <w:gridSpan w:val="11"/>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42</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PART II –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Legal Proceedings</w:t>
              </w:r>
            </w:hyperlink>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5000" w:type="dxa"/>
            <w:vAlign w:val="bottom"/>
            <w:gridSpan w:val="4"/>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720" w:type="dxa"/>
            <w:vAlign w:val="bottom"/>
          </w:tcPr>
          <w:p>
            <w:pPr>
              <w:jc w:val="cente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 Index</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5,965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6"/>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7,234</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product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sale of business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6,440</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46"/>
        </w:trPr>
        <w:tc>
          <w:tcPr>
            <w:tcW w:w="6240" w:type="dxa"/>
            <w:vAlign w:val="bottom"/>
          </w:tcPr>
          <w:p>
            <w:pPr>
              <w:ind w:left="20"/>
              <w:spacing w:after="0" w:line="146" w:lineRule="exact"/>
              <w:rPr>
                <w:sz w:val="20"/>
                <w:szCs w:val="20"/>
                <w:color w:val="auto"/>
              </w:rPr>
            </w:pPr>
            <w:r>
              <w:rPr>
                <w:rFonts w:ascii="Arial" w:cs="Arial" w:eastAsia="Arial" w:hAnsi="Arial"/>
                <w:sz w:val="16"/>
                <w:szCs w:val="16"/>
                <w:color w:val="auto"/>
                <w:w w:val="98"/>
              </w:rPr>
              <w:t>Income (loss) before income taxes and income (loss) from investments in unconsolidated</w:t>
            </w:r>
          </w:p>
        </w:tc>
        <w:tc>
          <w:tcPr>
            <w:tcW w:w="2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9"/>
        </w:trPr>
        <w:tc>
          <w:tcPr>
            <w:tcW w:w="6240" w:type="dxa"/>
            <w:vAlign w:val="bottom"/>
          </w:tcPr>
          <w:p>
            <w:pPr>
              <w:ind w:left="180"/>
              <w:spacing w:after="0"/>
              <w:rPr>
                <w:sz w:val="20"/>
                <w:szCs w:val="20"/>
                <w:color w:val="auto"/>
              </w:rPr>
            </w:pPr>
            <w:r>
              <w:rPr>
                <w:rFonts w:ascii="Arial" w:cs="Arial" w:eastAsia="Arial" w:hAnsi="Arial"/>
                <w:sz w:val="16"/>
                <w:szCs w:val="16"/>
                <w:color w:val="auto"/>
              </w:rPr>
              <w:t>affiliates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investments in unconsolidated affiliates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66"/>
        </w:trPr>
        <w:tc>
          <w:tcPr>
            <w:tcW w:w="6240" w:type="dxa"/>
            <w:vAlign w:val="bottom"/>
          </w:tcPr>
          <w:p>
            <w:pPr>
              <w:ind w:left="20"/>
              <w:spacing w:after="0" w:line="166" w:lineRule="exact"/>
              <w:rPr>
                <w:sz w:val="20"/>
                <w:szCs w:val="20"/>
                <w:color w:val="auto"/>
              </w:rPr>
            </w:pPr>
            <w:r>
              <w:rPr>
                <w:rFonts w:ascii="Arial" w:cs="Arial" w:eastAsia="Arial" w:hAnsi="Arial"/>
                <w:sz w:val="16"/>
                <w:szCs w:val="16"/>
                <w:color w:val="auto"/>
                <w:w w:val="94"/>
              </w:rPr>
              <w:t>Less: net income (loss) attributable to noncontrolling interests and redeemable noncontrolling</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 per share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Net income attributable to Fiserv, Inc. per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60"/>
        </w:trPr>
        <w:tc>
          <w:tcPr>
            <w:tcW w:w="6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Shares used in computing net income attributable to Fiserv, Inc.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674.1</w:t>
            </w:r>
          </w:p>
        </w:tc>
        <w:tc>
          <w:tcPr>
            <w:tcW w:w="0" w:type="dxa"/>
            <w:vAlign w:val="bottom"/>
          </w:tcPr>
          <w:p>
            <w:pPr>
              <w:spacing w:after="0"/>
              <w:rPr>
                <w:sz w:val="1"/>
                <w:szCs w:val="1"/>
                <w:color w:val="auto"/>
              </w:rPr>
            </w:pPr>
          </w:p>
        </w:tc>
      </w:tr>
      <w:tr>
        <w:trPr>
          <w:trHeight w:val="210"/>
        </w:trPr>
        <w:tc>
          <w:tcPr>
            <w:tcW w:w="6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60" w:right="40" w:hanging="328"/>
        <w:spacing w:after="0" w:line="280" w:lineRule="auto"/>
        <w:tabs>
          <w:tab w:leader="none" w:pos="64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processing and other fees charged to related party investments accounted for under the equity method of $56 million and $55 million for the three months ended June 30, 2021 and 2020, respectively, and $114 million and $112 million for the six months ended June 30, 2021 and 2020, respectively (see Note 18).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86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w w:val="93"/>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w w:val="93"/>
              </w:rPr>
              <w:t>June 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Fair market value adjustment on cash flow hedges, net of income tax (provision) benefit of</w:t>
            </w: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$0 million, ($1 million), $0 million and $2 million</w:t>
            </w: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200"/>
              <w:spacing w:after="0" w:line="176" w:lineRule="exact"/>
              <w:rPr>
                <w:sz w:val="20"/>
                <w:szCs w:val="20"/>
                <w:color w:val="auto"/>
              </w:rPr>
            </w:pPr>
            <w:r>
              <w:rPr>
                <w:rFonts w:ascii="Arial" w:cs="Arial" w:eastAsia="Arial" w:hAnsi="Arial"/>
                <w:sz w:val="18"/>
                <w:szCs w:val="18"/>
                <w:color w:val="auto"/>
                <w:w w:val="93"/>
              </w:rPr>
              <w:t>Reclassification adjustment for net realized (gains) losses on cash flow hedges included in</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460"/>
              <w:spacing w:after="0" w:line="176" w:lineRule="exact"/>
              <w:rPr>
                <w:sz w:val="20"/>
                <w:szCs w:val="20"/>
                <w:color w:val="auto"/>
              </w:rPr>
            </w:pPr>
            <w:r>
              <w:rPr>
                <w:rFonts w:ascii="Arial" w:cs="Arial" w:eastAsia="Arial" w:hAnsi="Arial"/>
                <w:sz w:val="18"/>
                <w:szCs w:val="18"/>
                <w:color w:val="auto"/>
                <w:w w:val="98"/>
              </w:rPr>
              <w:t>cost of processing and services, net of income tax benefit (provision) of $0 million,</w:t>
            </w:r>
          </w:p>
        </w:tc>
        <w:tc>
          <w:tcPr>
            <w:tcW w:w="20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460"/>
              <w:spacing w:after="0"/>
              <w:rPr>
                <w:sz w:val="20"/>
                <w:szCs w:val="20"/>
                <w:color w:val="auto"/>
              </w:rPr>
            </w:pPr>
            <w:r>
              <w:rPr>
                <w:rFonts w:ascii="Arial" w:cs="Arial" w:eastAsia="Arial" w:hAnsi="Arial"/>
                <w:sz w:val="18"/>
                <w:szCs w:val="18"/>
                <w:color w:val="auto"/>
              </w:rPr>
              <w:t>$0 million, $1 million and $0 million</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Reclassification adjustment for net realized losses on cash flow hedges included in net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interest expense, net of income tax provision of $1 million, $1 million, $2 million and $2</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million</w:t>
            </w: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Arial" w:cs="Arial" w:eastAsia="Arial" w:hAnsi="Arial"/>
                <w:sz w:val="18"/>
                <w:szCs w:val="18"/>
                <w:color w:val="auto"/>
                <w:w w:val="93"/>
              </w:rPr>
              <w:t>Unrealized gain on defined benefit pension plans, net of income tax provision of $0 million</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75"/>
        </w:trPr>
        <w:tc>
          <w:tcPr>
            <w:tcW w:w="6920" w:type="dxa"/>
            <w:vAlign w:val="bottom"/>
          </w:tcPr>
          <w:p>
            <w:pPr>
              <w:ind w:left="200"/>
              <w:spacing w:after="0" w:line="176" w:lineRule="exact"/>
              <w:rPr>
                <w:sz w:val="20"/>
                <w:szCs w:val="20"/>
                <w:color w:val="auto"/>
              </w:rPr>
            </w:pPr>
            <w:r>
              <w:rPr>
                <w:rFonts w:ascii="Arial" w:cs="Arial" w:eastAsia="Arial" w:hAnsi="Arial"/>
                <w:sz w:val="18"/>
                <w:szCs w:val="18"/>
                <w:color w:val="auto"/>
              </w:rPr>
              <w:t>Less: net income (loss) attributable to noncontrolling interests and redeemable</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920" w:type="dxa"/>
            <w:vAlign w:val="bottom"/>
          </w:tcPr>
          <w:p>
            <w:pPr>
              <w:ind w:left="46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Comprehensive income (loss) attributable to Fiserv,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17,727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10,845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36,668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75,776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1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3,364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12,945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17,251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15,637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20,425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42,983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41,290</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17)</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no par value: 25 million shares authorized; none issued</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40" w:type="dxa"/>
            <w:vAlign w:val="bottom"/>
          </w:tcPr>
          <w:p>
            <w:pPr>
              <w:ind w:left="220"/>
              <w:spacing w:after="0" w:line="166" w:lineRule="exact"/>
              <w:rPr>
                <w:sz w:val="20"/>
                <w:szCs w:val="20"/>
                <w:color w:val="auto"/>
              </w:rPr>
            </w:pPr>
            <w:r>
              <w:rPr>
                <w:rFonts w:ascii="Arial" w:cs="Arial" w:eastAsia="Arial" w:hAnsi="Arial"/>
                <w:sz w:val="16"/>
                <w:szCs w:val="16"/>
                <w:color w:val="auto"/>
                <w:w w:val="99"/>
              </w:rPr>
              <w:t>Common stock, $0.01 par value: 1,800 million shares authorized; 784 million and 789 million shares issued,</w:t>
            </w:r>
          </w:p>
        </w:tc>
        <w:tc>
          <w:tcPr>
            <w:tcW w:w="1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7840" w:type="dxa"/>
            <w:vAlign w:val="bottom"/>
          </w:tcPr>
          <w:p>
            <w:pPr>
              <w:ind w:left="480"/>
              <w:spacing w:after="0"/>
              <w:rPr>
                <w:sz w:val="20"/>
                <w:szCs w:val="20"/>
                <w:color w:val="auto"/>
              </w:rPr>
            </w:pPr>
            <w:r>
              <w:rPr>
                <w:rFonts w:ascii="Arial" w:cs="Arial" w:eastAsia="Arial" w:hAnsi="Arial"/>
                <w:sz w:val="16"/>
                <w:szCs w:val="16"/>
                <w:color w:val="auto"/>
              </w:rPr>
              <w:t>respectively</w:t>
            </w:r>
          </w:p>
        </w:tc>
        <w:tc>
          <w:tcPr>
            <w:tcW w:w="11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22,960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w:t>
            </w:r>
          </w:p>
        </w:tc>
        <w:tc>
          <w:tcPr>
            <w:tcW w:w="0" w:type="dxa"/>
            <w:vAlign w:val="bottom"/>
          </w:tcPr>
          <w:p>
            <w:pPr>
              <w:spacing w:after="0"/>
              <w:rPr>
                <w:sz w:val="1"/>
                <w:szCs w:val="1"/>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123 million and 121 million shares</w:t>
            </w: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(4,866)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31,793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32,532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33,070</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75,776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Six Months Ended</w:t>
      </w:r>
    </w:p>
    <w:p>
      <w:pPr>
        <w:jc w:val="center"/>
        <w:ind w:left="774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business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(Income) loss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Non-cash impairment charges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business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5,812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(repayments of)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financing costs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acquisition-related contingent consideration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consolidated financial statements for the three and six months ended June 30, 2021 and 2020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controlling financial interest. All intercompany transactions and balances between the Company and its subsidiaries have been eliminated in consolidation. Control is normally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benefit in the consolidated statements of income. Significant influence over an affiliate’s operations generally coincides with an ownership interest in an entity of between 20% and 50%.</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maintains a majority controlling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(loss) attributable to noncontrolling interests and redeemable noncontrolling interests. Noncontrolling interests are presented as a component of equity in the consolidated balance sheets and reflect the minority shareholders’ share of the consolidated subsidiaries net carrying value.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the Company’s operating performance, primarily within its merchant acquiring and payment-related businesses, which earn transaction-based fees, has been adversely affected, and may continue to be adversely affected, by the economic impact of the COVID-19 pandemic. The Company has continued to assess the impact of the COVID-19 pandemic on its consolidated financial statements and has determined that there have been no material changes to the significant accounting policies, including estimates and assumptions made by management, included in the Company’s Annual Report on Form 10-K for the year ended December 31, 2020. The Company will continue to monitor developments related to the COVID-19 pandemic; however, the extent to which the COVID-19 pandemic may impact the Company’s future operational and financial performance remains uncertain and cannot be predicted. Changing conditions may also affect the estimates and assumptions made by management and may result in an impairment or other charge that, if incurred, could have a material adverse impact on the Company’s results of operations, total assets and total equity in the period recognized. Events and changes in circumstances arising subsequent to June 30, 2021, including those resulting from the impacts of the COVID-19 pandemic, will be reflected in management’s estimates for future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and totaled $14 million and $13 million at June 30, 2021 and December 31,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$55 million and $48 million at June 30, 2021 and December 31,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Settlement assets and obligations result from timing differences between collection and fulfillment of payment transactions primarily associated with the Company’s merchant acquiring services. Settlement assets represent cash received or amounts receivable from agents, payment networks, bank partners or directly from consumers. Settlement obligations represent amounts payable to merchants and payees. Certain merchant settlement assets that relate to settlement obligations are held by partner banks to which the Company does not have legal ownership but has the right to use the assets to satisfy the related settlement obligations. The Company records corresponding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Merchant Credit Losses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is classified within settlement assets and the obligation to repay the collateral is classified within settlement obligations in the consolidated balance sheets. The Company also utilizes a number of systems and procedures to manage merchant risk. Despite these efforts, the Company experiences some level of losses due to merchant defaults.</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aggregate merchant credit losses, included within cost of processing and services in the consolidated statements of income, incurred by the Company was $11 million and $24 million for the three months ended June 30, 2021 and 2020, respectively, and $33 million and $54 million for the six months ended June 30, 2021 and 2020, respectively. The amount of collateral held by the Company was $2.3 billion and $1.2 billion at June 30, 2021 and December 31, 2020, respectively. The Company maintains reserves for merchant credit losses that are expected to exceed the amount of collateral held. The reserves include an estimated amount for anticipated chargebacks and fraud events that have been incurred on merchants’ payment transactions that have been processed but not yet reported to the Company (“IBNR Reserve”), which is recorded within accounts payable and accrued expenses in the consolidated balance sheets, as well as an allowance on refunded amounts to cardholders that have not yet been collected from the merchants, which is recorded within prepaid expenses and other current assets in the consolidated balance sheets. The IBNR Reserve is based primarily on the Company’s historical experience of credit losses and other relevant factors such as economic downturns or increases in merchant fraud. The aggregate merchant credit loss reserve was $59 million at each of June 30, 2021 and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2020 determined that its goodwill was not impaired as the estimated fair values exceeded the carrying values. However, it is reasonably possible that future developments related to the economic impact of the COVID-19 pandemic on certain of the Company’s businesses acquired and recorded at fair value through the acquisition of First Data Corporation (“First Data”) in July 2019, such as an increased duration and intensity of the pandemic and/or government-imposed shutdowns, prolonged economic downturn or recession, or lack of governmental support for recovery, could have a future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impact on one or more of the estimates and assumptions used to evaluate goodwill impairment. There is no accumulated goodwill impairment for the Company through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171"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The Company maintains investments in various equity securities without a readily determinable fair value. Such investments totaled $122 million and $160 million at June 30, 2021 and December 31, 2020, respectively, and are included within other long-term assets in the consolidated balance sheets. The Company reviews these investments each reporting period to determine whether an impairment or observable price change for the investment has occurred. When such events or changes occur, the Company evaluates the fair value compared to its cost basis in the investment. Gains or losses from a change in fair value are included within other income in the consolidated statements of income for the period. During the six months ended June 30, 2021, the Company remeasured its equity interest in Ondot Systems, Inc. (“Ondot”) to fair value upon acquiring a remaining ownership interest in January 2021, resulting in the recognition of a pre-tax gain of $12 million (see Note 4). Other adjustments made to the values recorded for these equity securities during the three and six months ended June 30, 2021 and 2020, were not 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8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millions)</w:t>
            </w:r>
          </w:p>
        </w:tc>
        <w:tc>
          <w:tcPr>
            <w:tcW w:w="10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97"/>
        </w:trPr>
        <w:tc>
          <w:tcPr>
            <w:tcW w:w="2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2020, the Financial Accounting Standards Board (“FASB”) issued Accounting Standards Update (“ASU”) No. 2020-01,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321), Investments - Equity Method and Joint Ventures (Topic 323), and Derivatives and Hedging (Topic 815): Clarifying the Interactions between Topic 321, Topic 323, and Topic 815 </w:t>
      </w:r>
      <w:r>
        <w:rPr>
          <w:rFonts w:ascii="Arial" w:cs="Arial" w:eastAsia="Arial" w:hAnsi="Arial"/>
          <w:sz w:val="18"/>
          <w:szCs w:val="18"/>
          <w:color w:val="auto"/>
        </w:rPr>
        <w:t>(“ASU 2020-01”), which clarifies certain interactions between the guidance to account for certain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equity method of accounting, and forward contracts or purchased options to purchase securities under Topic 321, Topic 323 and Topic 815. For public entities, ASU 2020-01 is effective for fiscal years, including interim periods within those fiscal years, beginning after December 15, 2020. The Company adopted ASU 2020-01 effective January 1, 2021, and the adoption did not have a material impact on its consolidated financial statements.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and interim periods within those fiscal years, beginning after December 15, 2020, with early adoption permitted. The Company adopted ASU 2019-12 effective January 1, 2021, and the adoption did not have a material impact on its consolidated financial statements.</w:t>
      </w:r>
    </w:p>
    <w:p>
      <w:pPr>
        <w:spacing w:after="0" w:line="1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adopted ASU 2016-13 effective January 1, 2020 using the required modified retrospective approach, which resulted in a cumulative-effect decrease to beginning retained earnings of $45 million.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United States comprising approximately 14% and 12% of total revenue for the three months ended June 30, 2021 and 2020, respectively, and 13% of total revenue for each of the six months ended June 30,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8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(In millions)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2021</w:t>
            </w: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2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2020</w:t>
            </w: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733</w:t>
            </w:r>
          </w:p>
        </w:tc>
      </w:tr>
    </w:tbl>
    <w:p>
      <w:pPr>
        <w:spacing w:after="0" w:line="2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$350 million of revenue during the six months ended June 30, 2021 that was included in the contract liability balance at the beginning of the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are unsatisfied (or partially unsatisfied) at 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bl>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applies the optional exemption under Accounting Standards Codification (“ASC”) Topic 606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Ondot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22, 2021, the Company acquired a remaining ownership interest in Ondot, a digital experience platform provider for financial institutions, for approximately $271 million, net of $13 million of acquired cash.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income in the consolidated statements of income during the six months ended June 30, 2021. Ondot is included within the Payments segment and further expands the Company’s digital capabilities, enhancing its suite of integrated payments, banking and merchant solutions.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June 30, 2021, the Company identified and recorded measurement period adjustments to the preliminary Ondot purchase price allocation, which were the result of additional analysis performed and information identified based on facts and circumstances that existed as of the acquisition date. These measurement period adjustments resulted in a decrease to goodwill of $33 million. The offsetting amounts to the change in goodwill were primarily related to an increase in acquired software and technology of $30 million, customer relationships of $15 million and deferred income tax liabilities of $12 million. The Company recorded measurement period adjustments to the intangible assets as a result of additional refinements to valuations, including estimated future cash flows. Such measurement period adjustments did not have a material impact on the Company’s consolidated statements of income.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900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2"/>
        </w:trPr>
        <w:tc>
          <w:tcPr>
            <w:tcW w:w="9000" w:type="dxa"/>
            <w:vAlign w:val="bottom"/>
            <w:gridSpan w:val="4"/>
          </w:tcPr>
          <w:p>
            <w:pPr>
              <w:spacing w:after="0"/>
              <w:rPr>
                <w:sz w:val="20"/>
                <w:szCs w:val="20"/>
                <w:color w:val="auto"/>
              </w:rPr>
            </w:pPr>
            <w:r>
              <w:rPr>
                <w:rFonts w:ascii="Arial" w:cs="Arial" w:eastAsia="Arial" w:hAnsi="Arial"/>
                <w:sz w:val="18"/>
                <w:szCs w:val="18"/>
                <w:color w:val="auto"/>
              </w:rPr>
              <w:t>The updated preliminary allocation of purchase price recorded for Ondot was as follows: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Total consideration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3"/>
          </w:tcPr>
          <w:p>
            <w:pPr>
              <w:ind w:left="220"/>
              <w:spacing w:after="0"/>
              <w:rPr>
                <w:sz w:val="20"/>
                <w:szCs w:val="20"/>
                <w:color w:val="auto"/>
              </w:rPr>
            </w:pPr>
            <w:r>
              <w:rPr>
                <w:rFonts w:ascii="Arial" w:cs="Arial" w:eastAsia="Arial" w:hAnsi="Arial"/>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allocation of the purchase price above remains preliminary and is subject to further adjustment, pending additional refinement and final completion of valuations. Goodwill, not deductible for tax purposes, is primarily attributed to the anticipated value created by the combined scale of integrated digital solutions to consumers, merchants, acquirers, networks and card issuers. The preliminary amounts allocated to identifiable intangible assets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Pineapple Payments</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May 4, 2021, the Company acquired Pineapple Payments Holdings, LLC (“Pineapple Payments”), an independent sales organization that provides payment processing, proprietary technology, and payment acceptance solutions for merchants, for approximately $206 million, net of $6 million of acquired cash, and including earn-out provisions estimated at a fair value of $30 million (see Note 6). Pineapple Payments is included within the Acceptance segment, and expands the reach of the Company’s payment solutions through its technology- and relationship-led distribution channels. The preliminary allocation of purchase price resulted in the recognition of identifiable intangible assets, consisting primarily of customer relationships and residual buyout intangible assets, of approximately $81 million, and goodwill of approximately $124 million. The allocation of the purchase price is preliminary and is subject to further adjustment, pending additional refinement and final completion of valuations. Goodwill, of which approximately $90 million is expected to be deductible for tax purposes, is primarily attributed to the anticipated value created by the accelerated delivery of new and innovative capabilities to merchant clients. 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approximately $49 million. The preliminary allocation of purchase price for these acquisitions resulted in the recognition of identifiable intangible assets, consisting primarily of acquired software and technology, of approximately $20 million and goodwill of approximately $30 million. The allocation of the purchase price is preliminary and is subject to further adjustment, pending additional refinement and final completion of valuations. Goodwill,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 expected to be deductible for tax purposes, is primarily attributed to the anticipated value created by advancing digital capabilities to the Company’s clients and the customers they serve. The results of operations for these acquired businesses are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2, 2020, the Company acquired MerchantPro Express LLC (“MerchantPro”), an independent sales organization that provides processing services, point-of-sale equipment and merchant cash advances to businesses across the United States. MerchantPro is included within the Acceptance segment and further expands the Company’s merchant services business. On March 18, 2020, the Company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the Company’s ability to help businesses deliver seamless physical and digital customer experiences. On May 11, 2020, the Company acquired Inlet, LLC (“Inlet”), a provider of secure digital delivery solutions for enterprise and middle-market biller invoices and statements. Inlet is included within the Payments segment and further enhances the Company’s digital bill payment strategy. The Company acquired these businesses for an aggregate purchase price of $167 million, net of $2 million of acquired cash, and including earn-out provisions estimated at a fair value of $45 million (see Note 6). The purchase price allocations for these acquisitions resulted in the recognition of identifiable intangible assets totaling $81 million, goodwill of $90 million, and net assumed liabilities of $4 million. The purchase price allocation for the MerchantPro acquisition was finalized in the third quarter of 2020, and for the Bypass and Inlet acquisitions in the fourth quarter of 2020. Measurement period adjustments did not have a material impact on the consolidated statements of income. The goodwill recognized from these transactions, of which $36 million is deductible for tax purposes, is primarily attributed to synergies and the anticipated value created by selling the Company’s products and services to the acquired businesses’ existing client base.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3"/>
          </w:tcPr>
          <w:p>
            <w:pPr>
              <w:spacing w:after="0"/>
              <w:rPr>
                <w:sz w:val="20"/>
                <w:szCs w:val="20"/>
                <w:color w:val="auto"/>
              </w:rPr>
            </w:pPr>
            <w:r>
              <w:rPr>
                <w:rFonts w:ascii="Arial" w:cs="Arial" w:eastAsia="Arial" w:hAnsi="Arial"/>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of supporting the transition of the business to each party and an orderly wind down of remaining BAMS assets and liabilities. Pursuant to the separation agreement, the joint venture retains the responsibility for certain contingencies that may arise from pre-dissolution activities, including potential credit losses for specified merchants in excess of established reserves and certain legal claims and contingencies. The Company may be obligated to fund a proportionate share of any such losses as incurred.</w:t>
      </w:r>
    </w:p>
    <w:p>
      <w:pPr>
        <w:spacing w:after="0" w:line="12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continues to provide merchant processing and related services to former BAMS clients allocated to BANA, at BAMS pricing, through June 2023. The Company also provides processing and other support services to new BANA merchant clients pursuant to a five-year non-exclusive agreement which, after June 2023, will also apply to the former BAMS clients allocated to BANA. In addition, both the Company and BANA are entitled to certain transition services, at fair value, from each other through June 2023. The business transferred to the Company is included within the Acceptance segment.</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February 18, 2020, the Company sold a 60% controlling interest of its Investment Services business, subsequently renamed as Tegra118, LLC (“Tegra118”). The Company received pre-tax proceeds of $584 million, net of related expenses, resulting in a pre-tax gain on the sale of $428 million, with the related tax expense of $112 million recorded through the income tax provision, in the consolidated statements of income for the six months ended June 30, 2020. The pre-tax gain included $176 million related to the remeasurement of the Company’s 40% retained interest based upon the enterprise value of the business. The revenues, expenses and cash flows of the Investment Services business were consolidated into the Company’s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results through the date of the sale transaction, and are reported within Corporate and Other (see Note 19). In conjunction with the sale transaction, the Company also entered into transition services agreements to provide, at fair value, various administration, business process outsourcing, technical and data center related services for defined periods to Tegra118.</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On February 2,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(loss) from investments in unconsolidated affiliates in the consolidated statements of income, with related tax expense of $6 million recorded through the income tax provision, during the six months ended June 30, 2021. On June 30, 2021, the Company sold its entire ownership interest in InvestCloud for $466 million, resulting in a pre-tax gain of $33 million recorded within income (loss) from investments in unconsolidated affiliates in the consolidated statements of income, with related tax expense of $8 million recorded through the income tax provision, during the three months ended June 30, 2021. The Company will continue to provide various technical and data center related services under the terms of a pre-existing transition services agreement with InvestCloud, as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2021</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61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800" w:type="dxa"/>
            <w:vAlign w:val="bottom"/>
          </w:tcPr>
          <w:p>
            <w:pPr>
              <w:ind w:left="400"/>
              <w:spacing w:after="0" w:line="182" w:lineRule="exact"/>
              <w:rPr>
                <w:sz w:val="20"/>
                <w:szCs w:val="20"/>
                <w:color w:val="auto"/>
              </w:rPr>
            </w:pPr>
            <w:r>
              <w:rPr>
                <w:rFonts w:ascii="Arial" w:cs="Arial" w:eastAsia="Arial" w:hAnsi="Arial"/>
                <w:sz w:val="18"/>
                <w:szCs w:val="18"/>
                <w:b w:val="1"/>
                <w:bCs w:val="1"/>
                <w:color w:val="auto"/>
                <w:w w:val="94"/>
              </w:rPr>
              <w:t>2021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Amortization expense during the three and six months ended June 30, 2020 included $24 million and $34 million, respectively, of accelerated amortization associated with the termination of certain vendor contracts (see Note 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 to market each period (see Note 11). Contingent consideration related to certain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76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Classification</w:t>
            </w:r>
          </w:p>
        </w:tc>
        <w:tc>
          <w:tcPr>
            <w:tcW w:w="1540" w:type="dxa"/>
            <w:vAlign w:val="bottom"/>
          </w:tcPr>
          <w:p>
            <w:pPr>
              <w:jc w:val="center"/>
              <w:ind w:left="13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28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88"/>
              </w:rPr>
              <w:t>June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21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760" w:type="dxa"/>
            <w:vAlign w:val="bottom"/>
            <w:vMerge w:val="continue"/>
          </w:tcPr>
          <w:p>
            <w:pPr>
              <w:spacing w:after="0"/>
              <w:rPr>
                <w:sz w:val="16"/>
                <w:szCs w:val="16"/>
                <w:color w:val="auto"/>
              </w:rPr>
            </w:pPr>
          </w:p>
        </w:tc>
        <w:tc>
          <w:tcPr>
            <w:tcW w:w="1540" w:type="dxa"/>
            <w:vAlign w:val="bottom"/>
          </w:tcPr>
          <w:p>
            <w:pPr>
              <w:jc w:val="center"/>
              <w:ind w:left="110"/>
              <w:spacing w:after="0" w:line="189" w:lineRule="exact"/>
              <w:rPr>
                <w:sz w:val="20"/>
                <w:szCs w:val="20"/>
                <w:color w:val="auto"/>
              </w:rPr>
            </w:pPr>
            <w:r>
              <w:rPr>
                <w:rFonts w:ascii="Arial" w:cs="Arial" w:eastAsia="Arial" w:hAnsi="Arial"/>
                <w:sz w:val="18"/>
                <w:szCs w:val="18"/>
                <w:b w:val="1"/>
                <w:bCs w:val="1"/>
                <w:color w:val="auto"/>
                <w:w w:val="93"/>
              </w:rPr>
              <w:t>Hierarchy</w:t>
            </w:r>
          </w:p>
        </w:tc>
        <w:tc>
          <w:tcPr>
            <w:tcW w:w="128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3760" w:type="dxa"/>
            <w:vAlign w:val="bottom"/>
          </w:tcPr>
          <w:p>
            <w:pPr>
              <w:ind w:left="320"/>
              <w:spacing w:after="0"/>
              <w:rPr>
                <w:sz w:val="20"/>
                <w:szCs w:val="20"/>
                <w:color w:val="auto"/>
              </w:rPr>
            </w:pPr>
            <w:r>
              <w:rPr>
                <w:rFonts w:ascii="Arial" w:cs="Arial" w:eastAsia="Arial" w:hAnsi="Arial"/>
                <w:sz w:val="18"/>
                <w:szCs w:val="18"/>
                <w:color w:val="auto"/>
                <w:w w:val="99"/>
              </w:rPr>
              <w:t>Prepaid expenses and other current assets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Level 2</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Level 3</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15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Level 3</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debt guarantee</w:t>
            </w:r>
          </w:p>
        </w:tc>
        <w:tc>
          <w:tcPr>
            <w:tcW w:w="3760" w:type="dxa"/>
            <w:vAlign w:val="bottom"/>
          </w:tcPr>
          <w:p>
            <w:pPr>
              <w:ind w:left="320"/>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Level 3</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debt associated with the receivables securitization agreement, term loan credit agreement,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$21.8 billion and $22.5 billion at June 30, 2021 and December 31, 2020, respectively, and the carrying value was $20.1 billion and $19.9 billion at June 30, 2021 and December 31, 2020, respectively.</w:t>
      </w:r>
    </w:p>
    <w:p>
      <w:pPr>
        <w:spacing w:after="0" w:line="1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Company maintains noncontrolling ownership interests in defi SOLUTIONS Group, LLC and Sagent M&amp;C, LLC, respectively, which are accounted for using the equity method of accounting. These joint ventures maintain variable-rate term loan facilities with aggregate outstanding borrowings of $375 million in senior unsecured debt at June 30, 2021 and variable-rate revolving credit facilities with an aggregate borrowing capacity of $45 million with a syndicate of banks, which mature in March 2023. Outstanding borrowings on the revolving credit facilities at June 30, 2021 were $13 million. The Company has guaranteed this debt and does not anticipate that the respective joint ventures will fail to fulfill their debt obligations. The Company maintains a liability for its non-contingent obligations to perform over the term of the guarantees, which is reported within accounts payable and accrued expenses and other long-term liabilities in the consolidated balance sheets. The non-contingent component of the Company’s debt guarantee arrangements is recorded at amortized cost but measured at fair value for disclosure purposes. The carrying value of the Company’s non-contingent liability of $14 million and $18 million approximates the fair value at June 30, 2021 and December 31, 2020, respectively (Level 3 of the fair value hierarchy). Such guarantees will be amortized in future periods over the contractual term. In addition, the Company maintains a contingent liability ($6 million and $8 million at June 30, 2021 and December 31, 2020, respectively, as reported within other long-term liabilities in the consolidated balance sheets), representing the current expected credit losses to which the Company is exposed. This contingent liability is estimated based on certain financial metrics of the respective joint ventures and historical industry data, which is used to develop assumptions of the likelihood the guaranteed parties will default and the level of credit losses in the event a default occurs (Level 3 of the fair value hierarchy). The Company recognized $3 million and $4 million during the three months ended June 30, 2021 and 2020, respectively, and $6 million during each of the six months ended June 30, 2021 and 2020, respectively, within other income in its consolidated statements of income related to its release from risk under the non-contingent guarantees as well as a change in the provision of estimated credit losses associated with the indebtedness of the joint ventures. The Company has not made any payments under the guarantees, nor has it been called upon to do so.</w:t>
      </w:r>
    </w:p>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 Additional information about fair value adjustments recorded on a non-recurring basis during the three and six months ended June 30, 2021 and 2020, is included in Note 13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7. Accounts Payable and Accrued Expenses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28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Client deposits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Arial" w:cs="Arial" w:eastAsia="Arial" w:hAnsi="Arial"/>
                <w:sz w:val="18"/>
                <w:szCs w:val="18"/>
                <w:color w:val="auto"/>
              </w:rPr>
              <w:t>The Company’s debt consisted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Foreign lines of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4.750% senior notes due June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3.500% senior notes due October 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3.800% senior notes due October 2023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3.850% senior notes due June 2025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3.200% senior notes due July 2026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3.500% senior notes due July 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4.400% senior notes due July 2049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Receivable securitized loan</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Term loan facility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U.S. commercial paper notes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 was in compliance with all financial debt covenants during the first six months of 2021. The Company maintains an amended and restated revolving credit facility, which matures in September 2023, with aggregate commitments available for $3.5 billion of total capacity.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 May 2021, the Company initiated a U.S. unsecured commercial paper notes program, the proceeds of which are to be used for general corporate purposes. The Company may issue, from time to time, commercial paper notes with maturities of up to 397 days from the date of issuance. Outstanding borrowings under the program were $1.1 billion at June 30, 2021, with a weighted average interest rate of 0.182%. The Company intends to maintain available capacity under its revolving credit facility in an amount at least equal to the outstanding borrowings under its commercial paper notes program. Outstanding borrowings under the commercial paper notes program are classified in the consolidated balance sheet as long-term, as the Company has the intent to refinance these notes on a long-term basis through the continued issuance of new commercial paper notes upon maturity, and the Company also has the ability to refinance such notes under its revolving credit facility.</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three months ended June 30, 2021, the Company used the net proceeds from the issuance of commercial paper notes and from the sale of its remaining ownership interest in InvestCloud (see Note 4) to repay outstanding borrowings under its amended and restated revolving credit facility, to repay its 4.750% senior notes that matured in June 2021, and to pay down outstanding borrowings on its term loan facility.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Noncontrolling Interests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minority partners in two of the Company’s merchant alliance joint ventures maintain redeemable noncontrolling interests which are presented outside of equity and carried at their estimated redemption values. Each minority partner owns 1% of the equity in the respective joint venture; in addition, each minority partner is entitled to a contractually determined share of the respective entity’s income. The agreements contain redemption features whereby interests held by the minority partner are redeemable either (i) at the option of the holder or (ii) upon the occurrence of an event that is not solely within the Company’s control. The joint ventures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 At June 30, 2021, redeemable noncontrolling interests had a total estimated redemption value of $261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six months ended June 30: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changes in equity during the three and six months ended June 30,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right="900"/>
        <w:spacing w:after="0" w:line="275" w:lineRule="auto"/>
        <w:rPr>
          <w:sz w:val="20"/>
          <w:szCs w:val="20"/>
          <w:color w:val="auto"/>
        </w:rPr>
      </w:pPr>
      <w:r>
        <w:rPr>
          <w:rFonts w:ascii="Arial" w:cs="Arial" w:eastAsia="Arial" w:hAnsi="Arial"/>
          <w:sz w:val="13"/>
          <w:szCs w:val="13"/>
          <w:b w:val="1"/>
          <w:bCs w:val="1"/>
          <w:color w:val="auto"/>
        </w:rPr>
        <w:t>Three Months Ended June 30, 2021</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32" w:lineRule="exact"/>
        <w:rPr>
          <w:sz w:val="20"/>
          <w:szCs w:val="20"/>
          <w:color w:val="auto"/>
        </w:rPr>
      </w:pPr>
    </w:p>
    <w:p>
      <w:pPr>
        <w:ind w:left="20" w:right="660"/>
        <w:spacing w:after="0" w:line="263" w:lineRule="auto"/>
        <w:rPr>
          <w:sz w:val="20"/>
          <w:szCs w:val="20"/>
          <w:color w:val="auto"/>
        </w:rPr>
      </w:pPr>
      <w:r>
        <w:rPr>
          <w:rFonts w:ascii="Arial" w:cs="Arial" w:eastAsia="Arial" w:hAnsi="Arial"/>
          <w:sz w:val="14"/>
          <w:szCs w:val="14"/>
          <w:color w:val="auto"/>
        </w:rPr>
        <w:t xml:space="preserve">Balance at March 31, 2021 Net income </w:t>
      </w:r>
      <w:r>
        <w:rPr>
          <w:rFonts w:ascii="Arial" w:cs="Arial" w:eastAsia="Arial" w:hAnsi="Arial"/>
          <w:sz w:val="18"/>
          <w:szCs w:val="18"/>
          <w:color w:val="auto"/>
          <w:vertAlign w:val="superscript"/>
        </w:rPr>
        <w:t>(1)</w:t>
      </w:r>
    </w:p>
    <w:p>
      <w:pPr>
        <w:ind w:left="180" w:right="140" w:hanging="161"/>
        <w:spacing w:after="0" w:line="211"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ind w:left="20"/>
        <w:spacing w:after="0"/>
        <w:rPr>
          <w:sz w:val="20"/>
          <w:szCs w:val="20"/>
          <w:color w:val="auto"/>
        </w:rPr>
      </w:pPr>
      <w:r>
        <w:rPr>
          <w:rFonts w:ascii="Arial" w:cs="Arial" w:eastAsia="Arial" w:hAnsi="Arial"/>
          <w:sz w:val="14"/>
          <w:szCs w:val="14"/>
          <w:color w:val="auto"/>
        </w:rPr>
        <w:t>Other comprehensive income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28"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Retirement of treasury stock (see Note 18)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1"/>
                <w:szCs w:val="11"/>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2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center"/>
              <w:ind w:left="828"/>
              <w:spacing w:after="0"/>
              <w:rPr>
                <w:sz w:val="20"/>
                <w:szCs w:val="20"/>
                <w:color w:val="auto"/>
              </w:rPr>
            </w:pPr>
            <w:r>
              <w:rPr>
                <w:rFonts w:ascii="Arial" w:cs="Arial" w:eastAsia="Arial" w:hAnsi="Arial"/>
                <w:sz w:val="14"/>
                <w:szCs w:val="14"/>
                <w:color w:val="auto"/>
                <w:w w:val="91"/>
              </w:rPr>
              <w:t>(536)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13,745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(4,888)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32,586</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center"/>
              <w:ind w:left="868"/>
              <w:spacing w:after="0"/>
              <w:rPr>
                <w:sz w:val="20"/>
                <w:szCs w:val="20"/>
                <w:color w:val="auto"/>
              </w:rPr>
            </w:pPr>
            <w:r>
              <w:rPr>
                <w:rFonts w:ascii="Arial" w:cs="Arial" w:eastAsia="Arial" w:hAnsi="Arial"/>
                <w:sz w:val="14"/>
                <w:szCs w:val="14"/>
                <w:color w:val="auto"/>
                <w:w w:val="94"/>
              </w:rPr>
              <w:t>213</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56"/>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(588)</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w w:val="91"/>
              </w:rPr>
              <w:t>(323)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32,532</w:t>
            </w:r>
          </w:p>
        </w:tc>
        <w:tc>
          <w:tcPr>
            <w:tcW w:w="0" w:type="dxa"/>
            <w:vAlign w:val="bottom"/>
          </w:tcPr>
          <w:p>
            <w:pPr>
              <w:spacing w:after="0"/>
              <w:rPr>
                <w:sz w:val="1"/>
                <w:szCs w:val="1"/>
                <w:color w:val="auto"/>
              </w:rPr>
            </w:pPr>
          </w:p>
        </w:tc>
      </w:tr>
      <w:tr>
        <w:trPr>
          <w:trHeight w:val="24"/>
        </w:trPr>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-1302385</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-1053465</wp:posOffset>
            </wp:positionV>
            <wp:extent cx="7132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-727710</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-487680</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-161925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40"/>
            <w:col w:w="8860"/>
          </w:cols>
          <w:pgMar w:left="320" w:top="125" w:right="3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right="16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June 30, 2021 is different than the amount presented in the consolidated statement of income due to the net income attributable to redeemable noncontrolling interests of $12 million not included in equity.</w:t>
      </w:r>
    </w:p>
    <w:p>
      <w:pPr>
        <w:spacing w:after="0" w:line="90" w:lineRule="exact"/>
        <w:rPr>
          <w:rFonts w:ascii="Arial" w:cs="Arial" w:eastAsia="Arial" w:hAnsi="Arial"/>
          <w:sz w:val="21"/>
          <w:szCs w:val="21"/>
          <w:color w:val="auto"/>
          <w:vertAlign w:val="superscript"/>
        </w:rPr>
      </w:pPr>
    </w:p>
    <w:p>
      <w:pPr>
        <w:ind w:left="660" w:right="4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June 30, 2021 excludes $10 million in distributions paid to redeemable noncontrolling interests not included in equity.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March 31, 2020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w w:val="97"/>
              </w:rPr>
              <w:t>(811)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 xml:space="preserve">Net income (loss) </w:t>
            </w:r>
            <w:r>
              <w:rPr>
                <w:rFonts w:ascii="Arial" w:cs="Arial" w:eastAsia="Arial" w:hAnsi="Arial"/>
                <w:sz w:val="9"/>
                <w:szCs w:val="9"/>
                <w:color w:val="auto"/>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1"/>
              </w:rPr>
              <w:t>Measurement period adjustments related</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 xml:space="preserve">to First Data acquisition </w:t>
            </w:r>
            <w:r>
              <w:rPr>
                <w:rFonts w:ascii="Arial" w:cs="Arial" w:eastAsia="Arial" w:hAnsi="Arial"/>
                <w:sz w:val="9"/>
                <w:szCs w:val="9"/>
                <w:color w:val="auto"/>
              </w:rPr>
              <w:t>(3)</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ind w:left="160"/>
              <w:spacing w:after="0"/>
              <w:rPr>
                <w:sz w:val="20"/>
                <w:szCs w:val="20"/>
                <w:color w:val="auto"/>
              </w:rPr>
            </w:pPr>
            <w:r>
              <w:rPr>
                <w:rFonts w:ascii="Arial" w:cs="Arial" w:eastAsia="Arial" w:hAnsi="Arial"/>
                <w:sz w:val="14"/>
                <w:szCs w:val="14"/>
                <w:color w:val="auto"/>
              </w:rPr>
              <w:t xml:space="preserve">interests </w:t>
            </w:r>
            <w:r>
              <w:rPr>
                <w:rFonts w:ascii="Arial" w:cs="Arial" w:eastAsia="Arial" w:hAnsi="Arial"/>
                <w:sz w:val="9"/>
                <w:szCs w:val="9"/>
                <w:color w:val="auto"/>
              </w:rPr>
              <w:t>(2)</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center"/>
              <w:ind w:left="808"/>
              <w:spacing w:after="0"/>
              <w:rPr>
                <w:sz w:val="20"/>
                <w:szCs w:val="20"/>
                <w:color w:val="auto"/>
              </w:rPr>
            </w:pPr>
            <w:r>
              <w:rPr>
                <w:rFonts w:ascii="Arial" w:cs="Arial" w:eastAsia="Arial" w:hAnsi="Arial"/>
                <w:sz w:val="14"/>
                <w:szCs w:val="14"/>
                <w:color w:val="auto"/>
                <w:w w:val="94"/>
              </w:rPr>
              <w:t>167</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June 30, 2020</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w w:val="97"/>
              </w:rPr>
              <w:t>(644)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right="160" w:hanging="328"/>
        <w:spacing w:after="0" w:line="223"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June 30, 2020 is different than the amount presented in the consolidated statement of income due to the net income attributable to redeemable noncontrolling interests of $9 million not included in equity.</w:t>
      </w:r>
    </w:p>
    <w:p>
      <w:pPr>
        <w:spacing w:after="0" w:line="90" w:lineRule="exact"/>
        <w:rPr>
          <w:rFonts w:ascii="Arial" w:cs="Arial" w:eastAsia="Arial" w:hAnsi="Arial"/>
          <w:sz w:val="21"/>
          <w:szCs w:val="21"/>
          <w:color w:val="auto"/>
          <w:vertAlign w:val="superscript"/>
        </w:rPr>
      </w:pPr>
    </w:p>
    <w:p>
      <w:pPr>
        <w:ind w:left="660" w:right="480" w:hanging="328"/>
        <w:spacing w:after="0" w:line="223"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June 30, 2020 excludes $10 million in distributions paid to redeemable noncontrolling interests not included in equity.</w:t>
      </w:r>
    </w:p>
    <w:p>
      <w:pPr>
        <w:spacing w:after="0" w:line="90" w:lineRule="exact"/>
        <w:rPr>
          <w:rFonts w:ascii="Arial" w:cs="Arial" w:eastAsia="Arial" w:hAnsi="Arial"/>
          <w:sz w:val="21"/>
          <w:szCs w:val="21"/>
          <w:color w:val="auto"/>
          <w:vertAlign w:val="superscript"/>
        </w:rPr>
      </w:pPr>
    </w:p>
    <w:p>
      <w:pPr>
        <w:ind w:left="660" w:right="60" w:hanging="328"/>
        <w:spacing w:after="0" w:line="253" w:lineRule="auto"/>
        <w:tabs>
          <w:tab w:leader="none" w:pos="648"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During the three months ended June 30, 2020, the Company identified and recorded measurement period adjustments to the preliminary purchase price allocation related to the acquisition of First Data. Accordingly, a measurement period adjustment was recorded to reduce the fair value of noncontrolling interests based on changes to the fair value of the underlying customer relationship intangible assets and the incorporation of additional facts and circumstances that existed as of the acquisition date. Additional information about measurement period adjustments identified and recorded by the Company related to the First Data acquisition is included in the Company’s Annual Report on Form 10-K for the year ended December 31,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w:t>
      </w:r>
    </w:p>
    <w:p>
      <w:pPr>
        <w:ind w:left="20"/>
        <w:spacing w:after="0"/>
        <w:rPr>
          <w:sz w:val="20"/>
          <w:szCs w:val="20"/>
          <w:color w:val="auto"/>
        </w:rPr>
      </w:pPr>
      <w:r>
        <w:rPr>
          <w:rFonts w:ascii="Arial" w:cs="Arial" w:eastAsia="Arial" w:hAnsi="Arial"/>
          <w:sz w:val="14"/>
          <w:szCs w:val="14"/>
          <w:b w:val="1"/>
          <w:bCs w:val="1"/>
          <w:color w:val="auto"/>
        </w:rPr>
        <w:t>June 30, 2021</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32" w:lineRule="exact"/>
        <w:rPr>
          <w:sz w:val="20"/>
          <w:szCs w:val="20"/>
          <w:color w:val="auto"/>
        </w:rPr>
      </w:pPr>
    </w:p>
    <w:p>
      <w:pPr>
        <w:ind w:left="20" w:right="440"/>
        <w:spacing w:after="0" w:line="291" w:lineRule="auto"/>
        <w:rPr>
          <w:sz w:val="20"/>
          <w:szCs w:val="20"/>
          <w:color w:val="auto"/>
        </w:rPr>
      </w:pPr>
      <w:r>
        <w:rPr>
          <w:rFonts w:ascii="Arial" w:cs="Arial" w:eastAsia="Arial" w:hAnsi="Arial"/>
          <w:sz w:val="14"/>
          <w:szCs w:val="14"/>
          <w:color w:val="auto"/>
        </w:rPr>
        <w:t xml:space="preserve">Balance at December 31, 2020 Net income </w:t>
      </w:r>
      <w:r>
        <w:rPr>
          <w:rFonts w:ascii="Arial" w:cs="Arial" w:eastAsia="Arial" w:hAnsi="Arial"/>
          <w:sz w:val="9"/>
          <w:szCs w:val="9"/>
          <w:color w:val="auto"/>
        </w:rPr>
        <w:t>(1)</w:t>
      </w:r>
    </w:p>
    <w:p>
      <w:pPr>
        <w:spacing w:after="0" w:line="1" w:lineRule="exact"/>
        <w:rPr>
          <w:sz w:val="20"/>
          <w:szCs w:val="20"/>
          <w:color w:val="auto"/>
        </w:rPr>
      </w:pPr>
    </w:p>
    <w:p>
      <w:pPr>
        <w:ind w:left="180" w:right="140" w:hanging="161"/>
        <w:spacing w:after="0" w:line="236"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9"/>
          <w:szCs w:val="9"/>
          <w:color w:val="auto"/>
        </w:rPr>
        <w:t>(2)</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28" w:lineRule="exact"/>
        <w:rPr>
          <w:sz w:val="20"/>
          <w:szCs w:val="20"/>
          <w:color w:val="auto"/>
        </w:rPr>
      </w:pPr>
    </w:p>
    <w:p>
      <w:pPr>
        <w:ind w:left="20"/>
        <w:spacing w:after="0" w:line="236" w:lineRule="auto"/>
        <w:rPr>
          <w:sz w:val="20"/>
          <w:szCs w:val="20"/>
          <w:color w:val="auto"/>
        </w:rPr>
      </w:pPr>
      <w:r>
        <w:rPr>
          <w:rFonts w:ascii="Arial" w:cs="Arial" w:eastAsia="Arial" w:hAnsi="Arial"/>
          <w:sz w:val="14"/>
          <w:szCs w:val="14"/>
          <w:color w:val="auto"/>
        </w:rPr>
        <w:t>Retirement of treasury stock (see Note 18)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Fiserv, Inc. Shareholders’ Equity</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08"/>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1"/>
                <w:szCs w:val="11"/>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2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23,643</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573</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56"/>
        </w:trPr>
        <w:tc>
          <w:tcPr>
            <w:tcW w:w="8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(588)</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22,960</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32,532</w:t>
            </w:r>
          </w:p>
        </w:tc>
        <w:tc>
          <w:tcPr>
            <w:tcW w:w="0" w:type="dxa"/>
            <w:vAlign w:val="bottom"/>
          </w:tcPr>
          <w:p>
            <w:pPr>
              <w:spacing w:after="0"/>
              <w:rPr>
                <w:sz w:val="1"/>
                <w:szCs w:val="1"/>
                <w:color w:val="auto"/>
              </w:rPr>
            </w:pPr>
          </w:p>
        </w:tc>
      </w:tr>
      <w:tr>
        <w:trPr>
          <w:trHeight w:val="24"/>
        </w:trPr>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-1302385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-1053465</wp:posOffset>
            </wp:positionV>
            <wp:extent cx="71323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-727710</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-487680</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-161925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40"/>
            <w:col w:w="8860"/>
          </w:cols>
          <w:pgMar w:left="320" w:top="125"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right="2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six months ended June 30, 2021 is different than the amount presented in the consolidated statement of income due to the net income attributable to redeemable noncontrolling interests of $22 million not included in equity.</w:t>
      </w:r>
    </w:p>
    <w:p>
      <w:pPr>
        <w:spacing w:after="0" w:line="90" w:lineRule="exact"/>
        <w:rPr>
          <w:rFonts w:ascii="Arial" w:cs="Arial" w:eastAsia="Arial" w:hAnsi="Arial"/>
          <w:sz w:val="21"/>
          <w:szCs w:val="21"/>
          <w:color w:val="auto"/>
          <w:vertAlign w:val="superscript"/>
        </w:rPr>
      </w:pPr>
    </w:p>
    <w:p>
      <w:pPr>
        <w:ind w:left="660" w:right="4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six months ended June 30, 2021 excludes $20 million in distributions paid to redeemable noncontrolling interests not included in equity.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 xml:space="preserve">Net income (loss) </w:t>
            </w:r>
            <w:r>
              <w:rPr>
                <w:rFonts w:ascii="Arial" w:cs="Arial" w:eastAsia="Arial" w:hAnsi="Arial"/>
                <w:sz w:val="9"/>
                <w:szCs w:val="9"/>
                <w:color w:val="auto"/>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1"/>
              </w:rPr>
              <w:t>Measurement period adjustments related</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 xml:space="preserve">to First Data acquisition </w:t>
            </w:r>
            <w:r>
              <w:rPr>
                <w:rFonts w:ascii="Arial" w:cs="Arial" w:eastAsia="Arial" w:hAnsi="Arial"/>
                <w:sz w:val="9"/>
                <w:szCs w:val="9"/>
                <w:color w:val="auto"/>
              </w:rPr>
              <w:t>(3)</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ind w:left="160"/>
              <w:spacing w:after="0"/>
              <w:rPr>
                <w:sz w:val="20"/>
                <w:szCs w:val="20"/>
                <w:color w:val="auto"/>
              </w:rPr>
            </w:pPr>
            <w:r>
              <w:rPr>
                <w:rFonts w:ascii="Arial" w:cs="Arial" w:eastAsia="Arial" w:hAnsi="Arial"/>
                <w:sz w:val="14"/>
                <w:szCs w:val="14"/>
                <w:color w:val="auto"/>
              </w:rPr>
              <w:t xml:space="preserve">interests </w:t>
            </w:r>
            <w:r>
              <w:rPr>
                <w:rFonts w:ascii="Arial" w:cs="Arial" w:eastAsia="Arial" w:hAnsi="Arial"/>
                <w:sz w:val="9"/>
                <w:szCs w:val="9"/>
                <w:color w:val="auto"/>
              </w:rPr>
              <w:t>(2)</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 income</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Cumulative-effect adjustment of ASU</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2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2016-13 adoption</w:t>
            </w: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360" w:type="dxa"/>
            <w:vAlign w:val="bottom"/>
            <w:gridSpan w:val="2"/>
            <w:vMerge w:val="continue"/>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Balance at June 30, 2020</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33,028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20" w:hanging="328"/>
        <w:spacing w:after="0" w:line="223" w:lineRule="auto"/>
        <w:tabs>
          <w:tab w:leader="none" w:pos="648" w:val="left"/>
        </w:tabs>
        <w:numPr>
          <w:ilvl w:val="1"/>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six months ended June 30, 2020 is different than the amount presented in the consolidated statement of income due to the net income attributable to redeemable noncontrolling interests of $18 million not included in equity.</w:t>
      </w:r>
    </w:p>
    <w:p>
      <w:pPr>
        <w:spacing w:after="0" w:line="90" w:lineRule="exact"/>
        <w:rPr>
          <w:rFonts w:ascii="Arial" w:cs="Arial" w:eastAsia="Arial" w:hAnsi="Arial"/>
          <w:sz w:val="21"/>
          <w:szCs w:val="21"/>
          <w:color w:val="auto"/>
          <w:vertAlign w:val="superscript"/>
        </w:rPr>
      </w:pPr>
    </w:p>
    <w:p>
      <w:pPr>
        <w:ind w:left="660" w:right="40" w:hanging="328"/>
        <w:spacing w:after="0" w:line="223" w:lineRule="auto"/>
        <w:tabs>
          <w:tab w:leader="none" w:pos="648" w:val="left"/>
        </w:tabs>
        <w:numPr>
          <w:ilvl w:val="1"/>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six months ended June 30, 2020 excludes $22 million in distributions paid to redeemable noncontrolling interests not included in equity.</w:t>
      </w:r>
    </w:p>
    <w:p>
      <w:pPr>
        <w:spacing w:after="0" w:line="90" w:lineRule="exact"/>
        <w:rPr>
          <w:rFonts w:ascii="Arial" w:cs="Arial" w:eastAsia="Arial" w:hAnsi="Arial"/>
          <w:sz w:val="21"/>
          <w:szCs w:val="21"/>
          <w:color w:val="auto"/>
          <w:vertAlign w:val="superscript"/>
        </w:rPr>
      </w:pPr>
    </w:p>
    <w:p>
      <w:pPr>
        <w:ind w:left="660" w:right="60" w:hanging="328"/>
        <w:spacing w:after="0" w:line="253" w:lineRule="auto"/>
        <w:tabs>
          <w:tab w:leader="none" w:pos="648" w:val="left"/>
        </w:tabs>
        <w:numPr>
          <w:ilvl w:val="1"/>
          <w:numId w:val="7"/>
        </w:numPr>
        <w:rPr>
          <w:rFonts w:ascii="Arial" w:cs="Arial" w:eastAsia="Arial" w:hAnsi="Arial"/>
          <w:sz w:val="20"/>
          <w:szCs w:val="20"/>
          <w:color w:val="auto"/>
          <w:vertAlign w:val="superscript"/>
        </w:rPr>
      </w:pPr>
      <w:r>
        <w:rPr>
          <w:rFonts w:ascii="Arial" w:cs="Arial" w:eastAsia="Arial" w:hAnsi="Arial"/>
          <w:sz w:val="15"/>
          <w:szCs w:val="15"/>
          <w:color w:val="auto"/>
        </w:rPr>
        <w:t>During the six months ended June 30, 2020, the Company identified and recorded measurement period adjustments to the preliminary purchase price allocation related to the acquisition of First Data. Accordingly, a measurement period adjustment was recorded to reduce the fair value of noncontrolling interests based on changes to the fair value of the underlying customer relationship intangible assets and the incorporation of additional facts and circumstances that existed as of the acquisition date. Additional information about measurement period adjustments identified and recorded by the Company related to the First Data acquisition is included in the Company’s Annual Report on Form 10-K for the year ended December 31, 2020.</w:t>
      </w:r>
    </w:p>
    <w:p>
      <w:pPr>
        <w:spacing w:after="0" w:line="128" w:lineRule="exact"/>
        <w:rPr>
          <w:rFonts w:ascii="Arial" w:cs="Arial" w:eastAsia="Arial" w:hAnsi="Arial"/>
          <w:sz w:val="20"/>
          <w:szCs w:val="20"/>
          <w:color w:val="auto"/>
          <w:vertAlign w:val="superscript"/>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 June 30, 2021</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6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7"/>
              </w:rPr>
              <w:t>Foreign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Currency</w:t>
            </w: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7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tabs>
          <w:tab w:leader="none" w:pos="4620" w:val="left"/>
        </w:tabs>
        <w:rPr>
          <w:sz w:val="20"/>
          <w:szCs w:val="20"/>
          <w:color w:val="auto"/>
        </w:rPr>
      </w:pPr>
      <w:r>
        <w:rPr>
          <w:rFonts w:ascii="Arial" w:cs="Arial" w:eastAsia="Arial" w:hAnsi="Arial"/>
          <w:sz w:val="18"/>
          <w:szCs w:val="18"/>
          <w:color w:val="auto"/>
        </w:rPr>
        <w:t>Balance at March 31, 2021</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before reclassifications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(118)</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390"/>
              <w:spacing w:after="0"/>
              <w:rPr>
                <w:sz w:val="20"/>
                <w:szCs w:val="20"/>
                <w:color w:val="auto"/>
              </w:rPr>
            </w:pPr>
            <w:r>
              <w:rPr>
                <w:rFonts w:ascii="Arial" w:cs="Arial" w:eastAsia="Arial" w:hAnsi="Arial"/>
                <w:sz w:val="18"/>
                <w:szCs w:val="18"/>
                <w:color w:val="auto"/>
                <w:w w:val="93"/>
              </w:rPr>
              <w:t>(11)</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19"/>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 June 30, 2020</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6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7"/>
              </w:rPr>
              <w:t>Foreign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Currency</w:t>
            </w: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7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tabs>
          <w:tab w:leader="none" w:pos="4620" w:val="left"/>
        </w:tabs>
        <w:rPr>
          <w:sz w:val="20"/>
          <w:szCs w:val="20"/>
          <w:color w:val="auto"/>
        </w:rPr>
      </w:pPr>
      <w:r>
        <w:rPr>
          <w:rFonts w:ascii="Arial" w:cs="Arial" w:eastAsia="Arial" w:hAnsi="Arial"/>
          <w:sz w:val="18"/>
          <w:szCs w:val="18"/>
          <w:color w:val="auto"/>
        </w:rPr>
        <w:t>Balance at March 31,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before reclassifications</w:t>
      </w:r>
    </w:p>
    <w:p>
      <w:pPr>
        <w:spacing w:after="0" w:line="23" w:lineRule="exact"/>
        <w:rPr>
          <w:sz w:val="20"/>
          <w:szCs w:val="20"/>
          <w:color w:val="auto"/>
        </w:rPr>
      </w:pPr>
    </w:p>
    <w:p>
      <w:pPr>
        <w:ind w:left="180" w:right="620" w:hanging="161"/>
        <w:spacing w:after="0" w:line="234"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(146)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Six Months Ended June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before reclassifications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Six Months Ended June 30, 2020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2019</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before reclassifications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-196215</wp:posOffset>
            </wp:positionV>
            <wp:extent cx="713232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 income</w:t>
            </w: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entered into forward exchange contracts, which have been designated as cash flow hedges, to hedge foreign currency exposure to the Indian Rupee. The notional amount of these derivatives was $273 million and $259 million, and the fair value totaling $5 million and $9 million is reported primarily within prepaid expenses and other current assets in the consolidated balance sheets at June 30, 2021 and December 31, 2020, respectively. Based on the amounts recorded in accumulated other comprehensive loss at June 30, 2021, the Company estimates that it will recognize gains of approximately $5 million in cost of processing and services during the next twelve months as foreign exchange forward contracts settle.</w:t>
      </w:r>
    </w:p>
    <w:p>
      <w:pPr>
        <w:spacing w:after="0" w:line="10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had previously entered into treasury lock agreements (“Treasury Locks”), designated as cash flow hedges, in the aggregate notional amount of $5.0 billion to manage exposure to fluctuations in benchmark interest rates in anticipation of the issuance of fixed rate debt in connection with the acquisition and refinancing of certain indebtedness of First Data and its subsidiaries. In June 2019, concurrent with the issuance of U.S dollar-denominated senior notes, the Treasury Locks were settled resulting in a payment of $183 million recorded in accumulated other comprehensive loss, net of income taxes, that will be amortized to earnings over the terms of the originally forecasted interest payments. Based on the amounts recorded in accumulated other comprehensive loss at June 30, 2021, the Company estimates that it will recognize approximately $20 million in interest expense, net during the next twelve months related to settled interest rate hedge contracts.</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reduce exposure to changes in the value of the Company’s net investments in certain of its foreign currency-denominated subsidiaries due to changes in foreign currency exchange rates, the Company uses its foreign currency-denominated debt as 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economic hedge of its net investments in such foreign currency-denominated subsidiaries. The Company has designated its Euro- and British Pound-denominated senior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income (loss) in the consolidated statements of comprehensive income (loss) and will remain in accumulated other comprehensive loss in the consolidated balance sheets until the sale or complete liquidation of the underlying foreign subsidiaries. The Company recorded a foreign currency translation (loss) gain, net of tax, of $(26) million and $(1) million in other comprehensive income (loss) during the three months ended June 30, 2021 and 2020, respectively, and $6 million and $54 million for the six months ended June 30, 2021 and 2020, respectively, from the Euro- and British Pound-denominated senior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recognized $61 million and $94 million of share-based compensation expense during the three months ended June 30, 2021 and 2020, respectively, and $127 million and $202 million of share based compensation expense during the six months ended June 30, 2021 and 2020, respectively. The Company’s annual grant of share-based awards generally occurs in the first quarter. At June 30, 2021, the total remaining unrecognized compensation cost for unvested stock options, restricted stock units and awards and performance share units, net of estimated forfeitures, of $373 million is expected to be recognized over a weighted-average period of 2.2 years. During the six months ended June 30, 2021 and 2020, stock options to purchase 2.4 million and 1.8 million shares, respectively, were exercised.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Weighted-Average</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0"/>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June 30,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10,806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47.15</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restricted stock award and performance share unit activity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Arial" w:cs="Arial" w:eastAsia="Arial" w:hAnsi="Arial"/>
                <w:sz w:val="16"/>
                <w:szCs w:val="16"/>
                <w:b w:val="1"/>
                <w:bCs w:val="1"/>
                <w:color w:val="auto"/>
              </w:rPr>
              <w:t>Restricted Stock Units and Awards</w:t>
            </w:r>
          </w:p>
        </w:tc>
        <w:tc>
          <w:tcPr>
            <w:tcW w:w="324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Performance Share Units</w:t>
            </w: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3"/>
                <w:szCs w:val="13"/>
                <w:color w:val="auto"/>
              </w:rPr>
            </w:pP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and Other Charges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July 2019 acquisition of First Data, the Company continues to implement integration plans focused on reducing the Company’s overall cost structure, including reducing vendor spend and eliminating duplicate costs. The Company recorded restructuring charges related to certain of these integration activities of $6 million and $92 million, primarily reported in cost of processing and services and selling, general and administrative expenses within the consolidated statements of income, based upon committed actions during the three months ended June 30, 2021 and 2020, respectively, and $28 million and $140 million during the six months ended June 30, 2021 and 2020, respectively. The Company continues to evaluate operating efficiencies and anticipates incurring additional costs in connection with these activities but is unable to estimate those amounts at this time as such plans are not yet finalized.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recorded $5 million and $37 million of employee termination costs related to severance and other separation costs for terminated employees in connection with the acquisition of First Data during the three months ended June 30, 2021 and 2020, respectively, and $18 million and $77 million during the six months ended June 30, 2021 and 2020, respectively. The following table summarizes the changes in the reserve related to the Company’s employee severance and other separation costs: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ind w:left="860"/>
              <w:spacing w:after="0"/>
              <w:rPr>
                <w:sz w:val="20"/>
                <w:szCs w:val="20"/>
                <w:color w:val="auto"/>
              </w:rPr>
            </w:pPr>
            <w:r>
              <w:rPr>
                <w:rFonts w:ascii="Arial" w:cs="Arial" w:eastAsia="Arial" w:hAnsi="Arial"/>
                <w:sz w:val="18"/>
                <w:szCs w:val="18"/>
                <w:b w:val="1"/>
                <w:bCs w:val="1"/>
                <w:color w:val="auto"/>
                <w:w w:val="93"/>
              </w:rPr>
              <w:t>Six Months Ended</w:t>
            </w:r>
          </w:p>
        </w:tc>
        <w:tc>
          <w:tcPr>
            <w:tcW w:w="12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ind w:left="34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89"/>
              </w:rPr>
              <w:t>14</w:t>
            </w:r>
          </w:p>
        </w:tc>
      </w:tr>
      <w:tr>
        <w:trPr>
          <w:trHeight w:val="229"/>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Severance and other separation costs</w:t>
            </w:r>
          </w:p>
        </w:tc>
        <w:tc>
          <w:tcPr>
            <w:tcW w:w="460" w:type="dxa"/>
            <w:vAlign w:val="bottom"/>
          </w:tcPr>
          <w:p>
            <w:pPr>
              <w:spacing w:after="0"/>
              <w:rPr>
                <w:sz w:val="19"/>
                <w:szCs w:val="19"/>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center"/>
              <w:ind w:left="810"/>
              <w:spacing w:after="0"/>
              <w:rPr>
                <w:sz w:val="20"/>
                <w:szCs w:val="20"/>
                <w:color w:val="auto"/>
              </w:rPr>
            </w:pPr>
            <w:r>
              <w:rPr>
                <w:rFonts w:ascii="Arial" w:cs="Arial" w:eastAsia="Arial" w:hAnsi="Arial"/>
                <w:sz w:val="18"/>
                <w:szCs w:val="18"/>
                <w:color w:val="auto"/>
                <w:w w:val="89"/>
              </w:rPr>
              <w:t>77</w:t>
            </w:r>
          </w:p>
        </w:tc>
      </w:tr>
      <w:tr>
        <w:trPr>
          <w:trHeight w:val="230"/>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(32)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3"/>
              </w:rPr>
              <w:t>(62)</w:t>
            </w: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89"/>
              </w:rPr>
              <w:t>29</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employee severance and other separation costs accrual balance of $13 million at June 30, 2021 is expected to be paid within the next twelve months. In addition, the Company recorded share-based compensation costs of $1 million and $15 million during the three months ended June 30, 2021 and 2020, respectively, and $5 million and $23 million during the six months ended June 30, 2021 and 2020, respectively, related to the accelerated vesting of equity awards for terminated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has identified certain leased facilities that have been or will be exited in the future as part of the Company’s efforts to reduce facility costs. During the first six months of 2021 and 2020, the Company permanently vacated certain of these leased facilities in advance of the non-cancellable lease terms.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the leased facilities for impairment. As a result, the Company recorded non-cash impairment charges of $0 million and $5 million, reported in selling, general and administrative expense within the consolidated statements of income during the three and six months ended June 30, 2021, respectively, and $40 million during both the three and six months ended June 30, 2020, respectively, associated with the early exit of these leased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initiatives to reduce the Company’s overall cost structure following the acquisition of First Data, the Company terminated certain of its existing lease agreements to upgrade and consolidate its computing infrastructure. The Company upgraded or replaced certain leased hardware under separate, new lease agreements, resulting in the early termination and disposal of existing hardware under the current lease agreements. As such, the Company adjusted the amortization period for these existing lease agreements to coincide with the modified remaining term. Finance lease expense during the three and six months ended June 30, 2020 included $7 million and $45 million, respectively, of accelerated amortization associated with the termination of these vendor contracts. In addition, the Company executed similar terminations to certain of its existing software financing agreements. Amortization expense during the three and six months ended June 30, 2020 included $24 million and $34 million, respectively, of accelerated amortization associated with the termination of these vendor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benefit and effective income tax rate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29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4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5"/>
                <w:szCs w:val="15"/>
                <w:color w:val="auto"/>
              </w:rPr>
            </w:pPr>
          </w:p>
        </w:tc>
        <w:tc>
          <w:tcPr>
            <w:tcW w:w="122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337.5 %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11.5 %</w:t>
            </w:r>
          </w:p>
        </w:tc>
      </w:tr>
    </w:tbl>
    <w:p>
      <w:pPr>
        <w:spacing w:after="0" w:line="2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income tax (provision) benefit as a percentage of income (loss) before income taxes and income (loss) from investments in unconsolidated affiliates was 48.5% and 337.5% for the three months ended June 30, 2021 and 2020, respectively, and was 31.1% and 11.5% for the six months ended June 30, 2021 and 2020,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effective income tax rate for the three months ended June 30, 2021 includes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 partially offset by decreases in uncertain tax positions. For the three months ended June 30, 2020, the income tax benefit of $27 million on an $8 million loss before income taxes and loss from investments in unconsolidated affiliates included equity compensation related tax benefits, changes in uncertain tax positions and other discrete tax items.</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effective income tax rate for the six months ended June 30, 2021 includes $134 million of income tax expense noted above, partially offset by discrete tax benefits from subsidiary restructurings and equity compensation related tax benefits. The effective income tax rate for the six months ended June 30, 2020 included $112 million of income tax expense associated with the $428 million gain on the sale of a 60% interest of the Company’s Investment Services business (see Note 4), partially offset by the impact of equity compensation related tax benefits on a lower level of pre-tax income and changes in uncertain tax positions.</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potential liability for unrecognized tax benefits before interest and penalties was approximately $160 million at June 30, 2021. The Company believes it is reasonably possible that the liability for unrecognized tax benefits may decrease by up to $35 million over the next twelve months as a result of possible closure of federal tax audits, potential settlements with certain states, and the lapse of the statutes of limitation in various jurisdictions.</w:t>
      </w:r>
    </w:p>
    <w:p>
      <w:pPr>
        <w:spacing w:after="0" w:line="1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June 30, 2021, the Company’s U.S. federal income tax returns for 2017, 2019 and 2020, and tax returns in certain states and foreign jurisdictions for 2005 through 2020, remain subject to examination by taxing authorities. State and local examinations are substantially complete through 2010 in relation to First Data’s state and local tax filings. Foreign jurisdictions generally remain subject to examination by their respective authorities from 2010 forward in relation to First Data’s foreign tax filings, none of which are considered significant jurisdictions.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8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 millions)</w:t>
            </w:r>
          </w:p>
        </w:tc>
        <w:tc>
          <w:tcPr>
            <w:tcW w:w="10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5"/>
                <w:szCs w:val="15"/>
                <w:color w:val="auto"/>
              </w:rPr>
            </w:pPr>
          </w:p>
        </w:tc>
        <w:tc>
          <w:tcPr>
            <w:tcW w:w="10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6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Weighted-average common shares outstanding used for the calculation of net income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 Fiserv, Inc. per share - basic</w:t>
            </w: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Common stock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55"/>
        </w:trPr>
        <w:tc>
          <w:tcPr>
            <w:tcW w:w="66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Weighted-average common shares outstanding used for the calculation of net income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66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attributable to Fiserv, Inc. per share - diluted</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June 30, 2021 and 2020, stock options for 1.2 million and 3.1 million shares, respectively, were excluded from the calculation of weighted-average outstanding shares - diluted because their impact was anti-dilutive. For the six months ended June 30, 2021 and 2020, stock options for 1.4 million and 1.8 million shares, respectively, were excluded from the calculation of weighted-average outstanding shares - diluted because their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6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Six Months Ended</w:t>
            </w:r>
          </w:p>
        </w:tc>
        <w:tc>
          <w:tcPr>
            <w:tcW w:w="12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Financed software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918"/>
        </w:trPr>
        <w:tc>
          <w:tcPr>
            <w:tcW w:w="7180" w:type="dxa"/>
            <w:vAlign w:val="bottom"/>
            <w:gridSpan w:val="3"/>
          </w:tcPr>
          <w:p>
            <w:pPr>
              <w:jc w:val="right"/>
              <w:ind w:right="146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primarily associated with its merchant business including claims related to alleged processing errors and a tax matter. In the second quarter of 2020, the Company resolved a matter with the Federal Trade Commission related to a U.S.-based wholesale independent sales organization resulting in a payment of $40 million, for which the Company previously had accrued. The Company maintained reserves of $43 million and $32 million at June 30, 2021 and December 31, 2020, respectively, related to its various legal proceedings, primarily associated with the Company’s merchant business as described above. The Company’s estimate of the possible range of exposure for various litigation matters in excess of amounts accrued is $0 million to approximately $65 million. In the opinion of management, the liabilities, if any, which may ultimately result from such lawsuits are not expected to have a material adverse effect on the Company’s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Company’s processing of electronic payments transactions,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$1.0 billion and $1.7 billion at June 30, 2021 and December 31,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Company maintains ownership interests of significant influence in various merchant alliances and strategic investments in companies in related markets.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significant portion of the Company’s business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$45 million and $41 million for the three months ended June 30, 2021 and 2020, respectively, and $90 million and $87 million for the six months ended June 30, 2021 and 2020,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$34 million and $37 million of amounts due from unconsolidated merchant alliances included within trade accounts receivable, net in the consolidated balance sheets at June 30, 2021 and December 31,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Amounts transacted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through these agreements totaled $13 million and $16 million during the three months ended June 30, 2021 and 2020, respectively, and $26 million and $27 million during the six months ended June 30, 2021 and 2020, respectively, and were primarily recognized as processing and services revenue in the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3, 2021, New Omaha Holdings L.P. (“New Omaha”), a shareholder of the Company, completed an underwritten secondary public offering of 23.0 million shares of Fiserv, Inc. common stock (the “offering”). The Company did not sell any shares in, nor did it receive any proceeds from, the offering. New Omaha received all of the net proceeds from the offering. In connection with the offering, the Company repurchased from the underwriters 5.0 million shares of its common stock that were subject to the offering, at a price equal to the price per share paid by the underwriters to New Omaha in the offering (the “share repurchase”). The share repurchase totaled $588 million and was funded with cash on hand. The repurchased shares were cancelled and no longer outstanding following the completion of the share repurchase. Prior to the offering, New Omaha owned approximately 13% of the Company’s outstanding shares of common stock, and following the offering, New Omaha owned approximately 9% as of June 30,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comprised of the Acceptance segment, the Fintech segment and the Payments segment.</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businesses in the Acceptance segment provide a wide range of commerce-enabling solutions and serve merchants of all sizes around the world. These services include point-of-sale merchant acquiring and digital commerce services; mobile payment services; security and fraud protection products; Carat</w:t>
      </w:r>
      <w:r>
        <w:rPr>
          <w:rFonts w:ascii="Arial" w:cs="Arial" w:eastAsia="Arial" w:hAnsi="Arial"/>
          <w:sz w:val="23"/>
          <w:szCs w:val="23"/>
          <w:color w:val="auto"/>
          <w:vertAlign w:val="superscript"/>
        </w:rPr>
        <w:t>SM</w:t>
      </w:r>
      <w:r>
        <w:rPr>
          <w:rFonts w:ascii="Arial" w:cs="Arial" w:eastAsia="Arial" w:hAnsi="Arial"/>
          <w:sz w:val="18"/>
          <w:szCs w:val="18"/>
          <w:color w:val="auto"/>
        </w:rPr>
        <w:t>, the Company’s omnichannel commerce solution; and the Company’s cloud-based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point-of-sale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Some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costs associated with acquisition and divestiture activity, and the Company’s Output Solutions postage reimbursements. Corporate and Other also includes the historical results of the Company’s Investment Services business prior to the Company’s disposal of its controlling financial interest in February 2020 (see Note 4), as well as certain transition services revenue associated with various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(loss)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1"/>
              </w:rPr>
              <w:t>Acceptance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1,432</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Three Months Ended June 30,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Six Months Ended June 30, 2021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2,621</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Six Months Ended June 30,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w w:val="99"/>
              </w:rPr>
              <w:t>25</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16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following, many of which are, and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operations and sales; the possibility that we may be unable to achieve expected synergies and operating efficiencies from the acquisition of First Data Corporation (“First Data”) within the expected time frames or that the integration of First Data may be more difficult, time-consuming or costly than expected;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2020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34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ind w:left="660" w:right="58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and six months ended June 30, 2021 to the comparable periods in 2020.</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at June 30, 2021.</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We are a leading global provider of payments and financial services technology solutions. We provide account processing and digital banking solutions; card issuer processing and network services; payments; e-commerce; merchant acquiring and processing; and the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cloud-based point-of-sale (“POS”) solution. We serve clients around the globe, including banks, credit unions, other financial institutions, corporate clients and merchants.</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businesses in our Acceptance segment provide a wide range of commerce-enabling solutions and serve merchants of all sizes around the world. These services include POS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our omnichannel commerce solution; and our cloud-based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POS platform. We distribute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2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Some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our other segments.</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costs associated with acquisition and divestiture activity, and our Output Solutions postage reimbursements. Corporate and Other also includes the historical results of our Investment Services business prior to the disposition of our controlling financial interest in February 2020, as well as certain transition services revenue associated with various dispositions.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14, 2021, we acquired Spend Labs Inc. (“SpendLabs”), a mobile-native, cloud-based software provider of commercial card payment solutions. SpendLabs is included within the Payments segment and further expands our digital capabilities across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mobile and desktop devices for small and mid-sized businesses. On May 4, 2021, we acquired Pineapple Payments Holdings, LLC (“Pineapple Payments”), an independent sales organization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We previously held a noncontrolling equity interest in Ondot, which was accounted for at cost. Ondot is included within the Payments segment and further expands our digital capabilities, enhancing our suite of integrated payments, banking and merchant solutions. We acquired these businesses for an aggregate purchase price of approximately</w:t>
      </w:r>
    </w:p>
    <w:p>
      <w:pPr>
        <w:spacing w:after="0" w:line="6"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$526 million, net of $19 million of acquired cash, and including earn-out provisions estimated at an aggregate fair value of $33 million. The results of operations for these acquired businesses are included in our consolidated results from the respective dates of acquisition.</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March 2, 2020, we acquired MerchantPro Express LLC (“MerchantPro”), an independent sales organization that provides processing services, point-of-sale equipment and merchant cash advances to businesses across the United States. MerchantPro is included within the Acceptance segment and further expands our merchant services business. On March 18, 2020, we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our ability to help businesses deliver seamless physical and digital customer experiences. On May 11, 2020, we acquired Inlet, LLC (“Inlet”), a provider of secure digital delivery solutions for enterprise and middle-market biller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an aggregate fair value of $45 million. The results of operations for these acquired businesses are included in our consolidated results from the respective dates of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July 1, 2020, we and Bank of America (“BANA”) dissolved the Banc of America Merchant Services joint venture (“BAMS” or the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is included within our Acceptance segment.</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provide merchant processing and related services to former BAMS clients allocated to BANA, at BAMS pricing, through June 2023. We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18, 2020, we sold a 60% controlling interest of our Investment Services business, subsequently renamed as Tegra118, LLC (“Tegra118”). We received pre-tax proceeds of $584 million, net of related expenses, resulting in a pre-tax gain on the sale of $428 million, with a related tax expense of $112 million. The revenues, expenses and cash flows of the Investment Services business were consolidated into our financial results through the date of the sale transaction, and is reported within Corporate and Other. On February 2, 2021, Tegra118 completed a merger with a third party, resulting in a dilution of our ownership interest in the combined new entity, Wealthtech Holdings, LLC, which was subsequently renamed as InvestCloud Holdings, LLC (“InvestCloud”). In connection with the transaction, we made an additional capital contribution of $200 million into the combined entity and recognized a pre-tax gain of $28 million, with a related tax expense of $6 million. On June 30, 2021, we sold our entire ownership interest in InvestCloud for $466 million, resulting in a pre-tax gain of $33 million, with a related tax expense of $8 million. We will continue to provide various technical and data center related services for defined periods under the terms of a pre-existing transition services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0"/>
        <w:spacing w:after="0" w:line="438" w:lineRule="auto"/>
        <w:rPr>
          <w:sz w:val="20"/>
          <w:szCs w:val="20"/>
          <w:color w:val="auto"/>
        </w:rPr>
      </w:pPr>
      <w:r>
        <w:rPr>
          <w:rFonts w:ascii="Arial" w:cs="Arial" w:eastAsia="Arial" w:hAnsi="Arial"/>
          <w:sz w:val="18"/>
          <w:szCs w:val="18"/>
          <w:color w:val="auto"/>
        </w:rPr>
        <w:t xml:space="preserve">expectations, payments companies are focused on modernizing their technology, expanding the use of data and enhancing the customer experience. </w:t>
      </w:r>
      <w:r>
        <w:rPr>
          <w:rFonts w:ascii="Arial" w:cs="Arial" w:eastAsia="Arial" w:hAnsi="Arial"/>
          <w:sz w:val="18"/>
          <w:szCs w:val="18"/>
          <w:u w:val="single" w:color="auto"/>
          <w:color w:val="auto"/>
        </w:rPr>
        <w:t>Merchants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independent software vendors, and we believe there are thousands of these potential distribution partnership opportunities available to us.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Institutions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our operating performance, primarily within our merchant acquiring and payment-related businesses, which earn transaction-based fees, has been adversely affected, and may continue to be adversely affected, by the economic impact of the COVID-19 pandemic. Such uncertainty remains despite improving trends in global economic activity and market conditions.</w:t>
      </w:r>
    </w:p>
    <w:p>
      <w:pPr>
        <w:spacing w:after="0" w:line="1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taken several actions since the onset of the pandemic to protect the health, safety and well-being of our employees while maintaining business continuity. These actions include, among others, requiring a majority of our employees to work remotely, eliminating non-essential travel, limiting visitors to our facilities, disinfecting facilities and workspaces extensively and frequently, providing personal protective equipment to associates and requiring employees who are present at our facilities to adhere to a variety of safety protocols. In addition, we have expanded paid time-off for employees impacted by COVID-19, provided increased pay for certain employees involved in critical infrastructure who could not work remotely, and expanded our Fiserv Cares program to benefit employees in need around the world. We recently began a limited reopening of our offices and expect to continue to gradually reopen additional facilities during the second half of 2021 while observing appropriate safety measures.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operating performance is subject to global economic and market conditions, as well as their impacts on levels of consumer and business spending. As a result of the COVID-19 pandemic and the related decline in global economic activity, we experienced a significant decrease in payments volume and transactions beginning in late March 2020 that negatively impacted our merchant acquiring and payment-related businesses, which earn transaction-based fees, as well as modest declines in other businesses. Merchant acquiring transaction and payment volumes began to partially recover throughout the remainder of 2020 with continued transaction and payment volume growth through the second quarter of 2021. Accordingly, our merchant acquiring and payment-related businesses were less impacted by the COVID-19 pandemic during the first six months of 2021 than they were throughout most of fiscal 2020. While this recent business trend is positive, the uncertainty caused by the pandemic continues to create an economic environment where our future financial results remain difficult to anticipate. We currently expect payments volume and transactions to continue to improve throughout 2021, consistent with consumer and business spending experienced to date.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extent of the impact of the pandemic on our future operational and financial performance will depend on, among other matters, the duration and intensity of the pandemic; governmental and private sector responses to the pandemic and the impact of such responses on us; the level of success of global vaccination efforts; and the impact of the pandemic on our employees, clients, supply chain, operations and sales, all of which are uncertain and cannot be predicted.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2020,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year-to-year.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w w:val="99"/>
              </w:rPr>
              <w:t>Three Months Ended June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left="692"/>
              <w:spacing w:after="0" w:line="22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3"/>
            <w:vMerge w:val="restart"/>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14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1"/>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Loss on sale of business</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6"/>
              </w:rPr>
              <w:t>Income (loss) before income taxes and income (loss)</w:t>
            </w: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(loss) from investments in unconsolidated</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8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bottom w:val="single" w:sz="8" w:color="auto"/>
            </w:tcBorders>
            <w:gridSpan w:val="3"/>
          </w:tcPr>
          <w:p>
            <w:pPr>
              <w:jc w:val="center"/>
              <w:ind w:left="692"/>
              <w:spacing w:after="0" w:line="22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780" w:type="dxa"/>
            <w:vAlign w:val="bottom"/>
          </w:tcPr>
          <w:p>
            <w:pPr>
              <w:jc w:val="right"/>
              <w:ind w:right="250"/>
              <w:spacing w:after="0" w:line="169"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0"/>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140" w:type="dxa"/>
            <w:vAlign w:val="bottom"/>
          </w:tcPr>
          <w:p>
            <w:pPr>
              <w:jc w:val="right"/>
              <w:ind w:right="332"/>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0"/>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71"/>
              <w:spacing w:after="0" w:line="169"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160" w:type="dxa"/>
            <w:vAlign w:val="bottom"/>
          </w:tcPr>
          <w:p>
            <w:pPr>
              <w:jc w:val="right"/>
              <w:ind w:right="410"/>
              <w:spacing w:after="0" w:line="169"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6,415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8"/>
              </w:rPr>
              <w:t>Income before income taxes and income (loss) from</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(loss) from investments in unconsolidated</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Less: net income (loss) attributable to noncontrolling</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80" w:hanging="328"/>
        <w:spacing w:after="0" w:line="223"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rPr>
              <w:t>Three Months Ended June 30,</w:t>
            </w: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9"/>
              </w:rPr>
              <w:t>Acceptance</w:t>
            </w:r>
          </w:p>
        </w:tc>
        <w:tc>
          <w:tcPr>
            <w:tcW w:w="320" w:type="dxa"/>
            <w:vAlign w:val="bottom"/>
          </w:tcPr>
          <w:p>
            <w:pPr>
              <w:spacing w:after="0"/>
              <w:rPr>
                <w:sz w:val="13"/>
                <w:szCs w:val="13"/>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120"/>
              <w:spacing w:after="0" w:line="15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120"/>
              <w:spacing w:after="0" w:line="175" w:lineRule="exact"/>
              <w:rPr>
                <w:sz w:val="20"/>
                <w:szCs w:val="20"/>
                <w:color w:val="auto"/>
              </w:rPr>
            </w:pPr>
            <w:r>
              <w:rPr>
                <w:rFonts w:ascii="Arial" w:cs="Arial" w:eastAsia="Arial" w:hAnsi="Arial"/>
                <w:sz w:val="16"/>
                <w:szCs w:val="16"/>
                <w:b w:val="1"/>
                <w:bCs w:val="1"/>
                <w:color w:val="auto"/>
              </w:rPr>
              <w:t>and Other</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1,666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754</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1,421</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4,051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714</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1,320</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3,465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Arial" w:cs="Arial" w:eastAsia="Arial" w:hAnsi="Arial"/>
                <w:sz w:val="18"/>
                <w:szCs w:val="18"/>
                <w:color w:val="auto"/>
              </w:rPr>
              <w:t>Revenue growth</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629</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32"/>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114 %</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290 %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50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60" w:type="dxa"/>
            <w:vAlign w:val="bottom"/>
            <w:gridSpan w:val="3"/>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1,140</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bps</w:t>
            </w:r>
          </w:p>
        </w:tc>
        <w:tc>
          <w:tcPr>
            <w:tcW w:w="32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80</w:t>
            </w:r>
          </w:p>
        </w:tc>
        <w:tc>
          <w:tcPr>
            <w:tcW w:w="800" w:type="dxa"/>
            <w:vAlign w:val="bottom"/>
            <w:gridSpan w:val="4"/>
          </w:tcPr>
          <w:p>
            <w:pPr>
              <w:jc w:val="right"/>
              <w:ind w:right="540"/>
              <w:spacing w:after="0"/>
              <w:rPr>
                <w:sz w:val="20"/>
                <w:szCs w:val="20"/>
                <w:color w:val="auto"/>
              </w:rPr>
            </w:pPr>
            <w:r>
              <w:rPr>
                <w:rFonts w:ascii="Arial" w:cs="Arial" w:eastAsia="Arial" w:hAnsi="Arial"/>
                <w:sz w:val="18"/>
                <w:szCs w:val="18"/>
                <w:color w:val="auto"/>
                <w:w w:val="82"/>
              </w:rPr>
              <w:t>bps</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280</w:t>
            </w:r>
          </w:p>
        </w:tc>
        <w:tc>
          <w:tcPr>
            <w:tcW w:w="760" w:type="dxa"/>
            <w:vAlign w:val="bottom"/>
            <w:gridSpan w:val="4"/>
          </w:tcPr>
          <w:p>
            <w:pPr>
              <w:jc w:val="right"/>
              <w:ind w:right="500"/>
              <w:spacing w:after="0"/>
              <w:rPr>
                <w:sz w:val="20"/>
                <w:szCs w:val="20"/>
                <w:color w:val="auto"/>
              </w:rPr>
            </w:pPr>
            <w:r>
              <w:rPr>
                <w:rFonts w:ascii="Arial" w:cs="Arial" w:eastAsia="Arial" w:hAnsi="Arial"/>
                <w:sz w:val="18"/>
                <w:szCs w:val="18"/>
                <w:color w:val="auto"/>
                <w:w w:val="82"/>
              </w:rPr>
              <w:t>bps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1,120</w:t>
            </w:r>
          </w:p>
        </w:tc>
        <w:tc>
          <w:tcPr>
            <w:tcW w:w="42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6"/>
                <w:szCs w:val="16"/>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center"/>
              <w:ind w:left="51"/>
              <w:spacing w:after="0"/>
              <w:rPr>
                <w:sz w:val="20"/>
                <w:szCs w:val="20"/>
                <w:color w:val="auto"/>
              </w:rPr>
            </w:pPr>
            <w:r>
              <w:rPr>
                <w:rFonts w:ascii="Arial" w:cs="Arial" w:eastAsia="Arial" w:hAnsi="Arial"/>
                <w:sz w:val="16"/>
                <w:szCs w:val="16"/>
                <w:b w:val="1"/>
                <w:bCs w:val="1"/>
                <w:color w:val="auto"/>
                <w:w w:val="86"/>
              </w:rPr>
              <w:t>Acceptance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120"/>
              <w:spacing w:after="0" w:line="15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140"/>
              <w:spacing w:after="0" w:line="175" w:lineRule="exact"/>
              <w:rPr>
                <w:sz w:val="20"/>
                <w:szCs w:val="20"/>
                <w:color w:val="auto"/>
              </w:rPr>
            </w:pPr>
            <w:r>
              <w:rPr>
                <w:rFonts w:ascii="Arial" w:cs="Arial" w:eastAsia="Arial" w:hAnsi="Arial"/>
                <w:sz w:val="16"/>
                <w:szCs w:val="16"/>
                <w:b w:val="1"/>
                <w:bCs w:val="1"/>
                <w:color w:val="auto"/>
              </w:rPr>
              <w:t>and Other</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3,063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1,490</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2,826</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7,806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2,624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1,432</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2,706</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7,234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Arial" w:cs="Arial" w:eastAsia="Arial" w:hAnsi="Arial"/>
                <w:sz w:val="18"/>
                <w:szCs w:val="18"/>
                <w:color w:val="auto"/>
              </w:rPr>
              <w:t>Revenue growth</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439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120</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572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519</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1,207</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(1,518)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562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1,113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(1,337)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794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94</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62 %</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41 %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50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42.7 %</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60" w:type="dxa"/>
            <w:vAlign w:val="bottom"/>
            <w:gridSpan w:val="3"/>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center"/>
              <w:ind w:left="71"/>
              <w:spacing w:after="0"/>
              <w:rPr>
                <w:sz w:val="20"/>
                <w:szCs w:val="20"/>
                <w:color w:val="auto"/>
              </w:rPr>
            </w:pPr>
            <w:r>
              <w:rPr>
                <w:rFonts w:ascii="Arial" w:cs="Arial" w:eastAsia="Arial" w:hAnsi="Arial"/>
                <w:sz w:val="18"/>
                <w:szCs w:val="18"/>
                <w:color w:val="auto"/>
                <w:w w:val="93"/>
              </w:rPr>
              <w:t>830</w:t>
            </w:r>
          </w:p>
        </w:tc>
        <w:tc>
          <w:tcPr>
            <w:tcW w:w="520" w:type="dxa"/>
            <w:vAlign w:val="bottom"/>
            <w:gridSpan w:val="3"/>
          </w:tcPr>
          <w:p>
            <w:pPr>
              <w:spacing w:after="0"/>
              <w:rPr>
                <w:sz w:val="20"/>
                <w:szCs w:val="20"/>
                <w:color w:val="auto"/>
              </w:rPr>
            </w:pPr>
            <w:r>
              <w:rPr>
                <w:rFonts w:ascii="Arial" w:cs="Arial" w:eastAsia="Arial" w:hAnsi="Arial"/>
                <w:sz w:val="18"/>
                <w:szCs w:val="18"/>
                <w:color w:val="auto"/>
              </w:rPr>
              <w:t>bps</w:t>
            </w:r>
          </w:p>
        </w:tc>
        <w:tc>
          <w:tcPr>
            <w:tcW w:w="320" w:type="dxa"/>
            <w:vAlign w:val="bottom"/>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800" w:type="dxa"/>
            <w:vAlign w:val="bottom"/>
            <w:gridSpan w:val="4"/>
          </w:tcPr>
          <w:p>
            <w:pPr>
              <w:jc w:val="right"/>
              <w:ind w:right="520"/>
              <w:spacing w:after="0"/>
              <w:rPr>
                <w:sz w:val="20"/>
                <w:szCs w:val="20"/>
                <w:color w:val="auto"/>
              </w:rPr>
            </w:pPr>
            <w:r>
              <w:rPr>
                <w:rFonts w:ascii="Arial" w:cs="Arial" w:eastAsia="Arial" w:hAnsi="Arial"/>
                <w:sz w:val="18"/>
                <w:szCs w:val="18"/>
                <w:color w:val="auto"/>
                <w:w w:val="89"/>
              </w:rPr>
              <w:t>bps</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150</w:t>
            </w:r>
          </w:p>
        </w:tc>
        <w:tc>
          <w:tcPr>
            <w:tcW w:w="760" w:type="dxa"/>
            <w:vAlign w:val="bottom"/>
            <w:gridSpan w:val="4"/>
          </w:tcPr>
          <w:p>
            <w:pPr>
              <w:jc w:val="right"/>
              <w:ind w:right="480"/>
              <w:spacing w:after="0"/>
              <w:rPr>
                <w:sz w:val="20"/>
                <w:szCs w:val="20"/>
                <w:color w:val="auto"/>
              </w:rPr>
            </w:pPr>
            <w:r>
              <w:rPr>
                <w:rFonts w:ascii="Arial" w:cs="Arial" w:eastAsia="Arial" w:hAnsi="Arial"/>
                <w:sz w:val="18"/>
                <w:szCs w:val="18"/>
                <w:color w:val="auto"/>
                <w:w w:val="89"/>
              </w:rPr>
              <w:t>bps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330</w:t>
            </w:r>
          </w:p>
        </w:tc>
        <w:tc>
          <w:tcPr>
            <w:tcW w:w="42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revenue increased $586 million, or 17%, in the second quarter of 2021 and increased $572 million, or 8%, in the first six months of 2021 compared to 2020. The revenue increase was primarily due to improved payment and transaction volumes in our merchant acquiring and payment-related businesses, which were adversely affected by the economic impact of the COVID-19 pandemic during the last two weeks of March and throughout the second quarter of 2020. This growth was partially offset by the loss of revenue attributable to dispositions that had revenue of $68 million and $153 million in the second quarter and first six months of 2021, respectively.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Revenue in our Acceptance segment increased $443 million, or 36%, in the second quarter of 2021 and increased $439 million, or 17%, in the first six months of 2021 compared to 2020. The revenue increase was primarily due to improved merchant acquiring payment and transaction volumes, which were adversely affected in the second quarter of 2020 by the economic impact of the COVID-19 pandemic. Revenue increases from volume growth were partially offset by revenue reductions from the dissolution of the BAMS joint venture of 5% in each of the second quarter and first six months of 2021.</w:t>
      </w:r>
    </w:p>
    <w:p>
      <w:pPr>
        <w:spacing w:after="0" w:line="10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Revenue in our Fintech segment increased $40 million, or 6%, in the second quarter of 2021 and increased $58 million, or 4%, in the first six months of 2021 compared to 2020, driven by recurring revenue growth from higher processing revenue across our Fintech businesses. Fintech revenue growth was partially offset by 1% in both the second quarter and first six months of 2021 from a decline in termination fee revenue.</w:t>
      </w:r>
    </w:p>
    <w:p>
      <w:pPr>
        <w:spacing w:after="0" w:line="11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Revenue in our Payments segment increased $101 million, or 8%, in the second quarter of 2021 and increased $120 million, or 4%, in the first six months of 2021 compared to 2020. Increased transaction volumes drove revenue contributions across multiple Payments segment businesses in 2021, including revenue contributions of 4% and 3% from our debit processing business in the second quarter and first six months of 2021, respectively, and 1% from our Zelle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in each period. In addition, our prepaid solutions business contributed 1% to Payments segment revenue growth in both the second quarter and first six months of 2021, attributable to increased card fulfillment. These increases were partially offset by revenue reductions of 1% and 2% from our bill payment business in the second quarter and first six months of 2021, respectively.</w:t>
      </w:r>
    </w:p>
    <w:p>
      <w:pPr>
        <w:spacing w:after="0" w:line="1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 at Corporate and Other increased $2 million, or 1%, in the second quarter of 2021 and decreased $45 million, or 10%, in the first six months of 2021 compared to 2020. Postage revenue declines and the disposition of a 60% controlling interest of our Investment Services business reduced Corporate and Other revenue in the first six months of 2021 by 6% and 4%,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expenses increased $107 million, or 3%, in the second quarter of 2021 and increased $247 million, or 4%, in the first six months of 2021 compared to 2020. Total expenses as a percentage of total revenue decreased 1,110 basis points to 84.1% in the second quarter and decreased 330 basis points to 85.7% in the first six months of 2021 compared to 2020. Total expenses as a percentage of total revenue were favorably impacted in 2021 by operating leverage accompanying revenue growth, along with lower acquisition and integration related expenses of $77 million in the second quarter and $181 million in the first six months of 2021, respectively, and lower severance costs of $28 million in the second quarter and $65 million in the first six months of 2021, respectively.</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processing and services as a percentage of processing and services revenue decreased to 44.6% in the second quarter of 2021 compared to 50.7% in the second quarter of 2020 and decreased to 45.1% in the first six months of 2021 compared to 52.0% in the first six months of 2020. Cost of processing and services as a percentage of processing and services revenue was favorably impacted in the second quarter and first six months of 2021 primarily due to strong operating leverage across our businesses, along with approximately 90 basis points and 110 basis points from decreased acquisition and integration related expenses and approximately 30 basis points and 50 basis points from decreased severance costs compared to the second quarter and first six months of 2020, respectively.</w:t>
      </w:r>
    </w:p>
    <w:p>
      <w:pPr>
        <w:spacing w:after="0" w:line="13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Cost of product as a percentage of product revenue decreased to 68.0% in the second quarter of 2021 compared to 79.0% in the second quarter of 2020 and decreased to 70.4% in first six months of 2021 compared to 77.7% in the first six months of 2020. The cost of product as a percentage of product revenue improved in the second quarter and first six months of 2021 as a result of revenue mix, including lower postage pass-through revenue.</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Selling, general and administrative expenses as a percentage of total revenue decreased to 35.5% in the second quarter of 2021 compared to 39.7% in the second quarter of 2020 and decreased to 36.0% in the first six months of 2021 compared to 38.4% in the first six months of 2020. The decrease in selling, general and administrative expenses as a percentage of total revenue was primarily due to strong operating leverage across our businesses, along with approximately 170 basis points from decreased acquisition and integration related expenses and approximately 40 basis points from decreased severance costs compared to both the second quarter and first six months of 2020.</w:t>
      </w:r>
    </w:p>
    <w:p>
      <w:pPr>
        <w:spacing w:after="0" w:line="12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gain on sale of business of $428 million in the first quarter of 2020 resulted from the sale of a 60% interest of our Investment Services business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operating income increased $479 million, or 290%, in the second quarter of 2021 and increased $325 million, or 41%, in the first six months of 2021 compared to 2020. Total operating margin increased 1,120 basis points to 15.9% in the second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quarter of 2021 and increased 330 basis points to 14.3% in the first six months of 2021 compared to 2020. Total operating income and total operating margin benefited from improved operating leverage accompanying scalable revenue growth in the second quarter and first six months of 2021 and were also impacted by a $428 million gain on sale of a 60% interest of our Investment Services business in the first quarter of 2020.</w:t>
      </w:r>
    </w:p>
    <w:p>
      <w:pPr>
        <w:spacing w:after="0" w:line="1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income in our Acceptance segment increased $279 million, or 114%, in the second quarter of 2021 and increased $349 million, or 62%, in the first six months of 2021 compared to 2020. Operating margin increased 1,140 basis points to 31.4% in the second quarter of 2021 and increased 830 basis points to 29.7% in the first six months of 2021 compared to 2020. Acceptance operating margin growth in both the second quarter and first six months of 2021 was primarily due to scalable revenue growth as discussed above.</w:t>
      </w:r>
    </w:p>
    <w:p>
      <w:pPr>
        <w:spacing w:after="0" w:line="13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Operating income in our Fintech segment increased $21 million, or 8%, in the second quarter of 2021 and increased $63 million, or 14% in the first six months of 2021 compared to 2020. Operating margin increased 80 basis points to 36.2% in the second quarter of 2021 and increased 300 basis points to 34.9% in the first six months of 2021 compared to 2020. Fintech segment operating margin improvement in the second quarter of 2021 was driven by revenue growth as discussed above. Operating margin improvement in the first six months of 2021 also reflects the impact of expense management initiatives across the segment, including lower personnel costs of approximately 100 basis points and additional expense reductions attributable to lower travel and marketing expenses of approximately 60 basis points.</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in our Payments segment increased $81 million, or 15%, in the second quarter of 2021 and increased $94 million, or 8%, in the first six months of 2021 compared to 2020. Operating margin increased 280 basis points to 44.3% in the second quarter of 2021 and increased 150 basis points to 42.7% in the first six months of 2021 compared to 2020. Payments segment operating margin growth in both the second quarter and first six months of 2021 was primarily attributable to scalable revenue growth as discussed above.</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operating loss in Corporate and Other decreased $98 million in the second quarter of 2021 and increased $181 million in the first six months of 2021 compared to 2020. Corporate and Other was favorably impacted in 2021 by a reduction of acquisition and integration related costs of $77 million in the second quarter and $181 million in the first six months of 2021 and lower severance costs of $28 million in the second quarter and $65 million in the first six months of 2021 compared to 2020. Corporate and Other was favorably impacted in the first six months of 2021 by a $428 million gain on the sale of a 60% interest of our Investment Services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net was relatively consistent in the second quarter of 2021 compared to 2020, and decreased $10 million, or 3%, in the first six months of 2021 compared to 2020 primarily due to lower outstanding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income was relatively consistent through the first six months of 2021 compared to 2020. Other income includes net foreign currency transaction gains and losses, gains or losses from a change in fair value of investments in certain equity securities, amounts related to the release of risk under our non-contingent guarantee arrangements and changes in the provision of estimated credit losses associated with indebtedness of certain joint ventures. Other income includes net foreign currency transaction gains of $1 million and $11 million in the first six months of 2021 and 2020, respectively, as well as $12 million in the first six months of 2021 related to a pre-tax gain on the remeasurement of a previously held investment in Ondot to fair value upon acquiring the remaining ownership interest in that entity.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Income tax (provision) benefit as a percentage of income (loss) before income taxes and income (loss) from investments in unconsolidated affiliates was 48.5% and 337.5% for the three months ended June 30, 2021 and 2020, respectively, and was 31.1% and 11.5% for the first six months of 2021 and 2020, respectively. The effective income tax rate for the three months ended June 30, 2021 includes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 partially offset by decreases in uncertain tax positions. For the three months ended June 30, 2020, the income tax benefit of $27 million on an $8 million loss before income taxes and loss from investments in unconsolidated affiliates included equity compensation related tax benefits, changes in uncertain tax positions and other discrete tax items. The effective income tax rate for the six months ended June 30, 2021 includes $134 million of income tax expense noted above, partially offset by discrete tax benefits from subsidiary restructurings and equity compensation related tax benefits. The effective income tax rate for the six months ended June 30,</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2020, included $112 million of income tax expense associated with the $428 million gain on the sale of a 60% interest of our Investment Services business, partially offset by the impact of equity compensation related tax benefits on a lower level of pre-tax income and changes in uncertain tax positions.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Investments in Unconsolidated Affiliates</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share of net income or loss from affiliates accounted for using the equity method of accounting is reported as income (loss) from investments in unconsolidated affiliates and the related tax expense or benefit is reported within the income tax (provision) benefit in the consolidated statements of income. Income (loss) from investments in unconsolidated affiliates, including acquired intangible asset amortization from valuations in purchase accounting, was $42 million and $(10) million in the second quarter of 2021 and 2020, respectively, and $58 million and $(16) million in the first six months of 2021 and 2020, respectively</w:t>
      </w:r>
      <w:r>
        <w:rPr>
          <w:rFonts w:ascii="Arial" w:cs="Arial" w:eastAsia="Arial" w:hAnsi="Arial"/>
          <w:sz w:val="17"/>
          <w:szCs w:val="17"/>
          <w:i w:val="1"/>
          <w:iCs w:val="1"/>
          <w:color w:val="auto"/>
        </w:rPr>
        <w:t>.</w:t>
      </w:r>
      <w:r>
        <w:rPr>
          <w:rFonts w:ascii="Arial" w:cs="Arial" w:eastAsia="Arial" w:hAnsi="Arial"/>
          <w:sz w:val="17"/>
          <w:szCs w:val="17"/>
          <w:color w:val="auto"/>
        </w:rPr>
        <w:t xml:space="preserve"> Income from investments in unconsolidated affiliates for the three months ended June 30, 2021 included a $33 million pre-tax gain resulting from the sale of our remaining ownership interest in InvestCloud. Income from investments in unconsolidated affiliates for the first six months of 2021 also included a $28 million pre-tax gain resulting from the dilution of our ownership interest in connection with the Tegra118 merger with a third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Net income (loss) attributable to noncontrolling interests and redeemable noncontrolling interests relates to the ownership interest of our consolidated alliance partners in our consolidated results. Net income (loss) attributable to noncontrolling interests, including acquired intangible asset amortization from valuations in purchase accounting, was $15 million and $7 million in the second quarter of 2021 and 2020, respectively, and $29 million and $(8) million in the first six months of 2021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Net income attributable to Fiserv, Inc. per share-diluted was $0.40 and $0.00 in the second quarter of 2021 and 2020, respectively, and was $0.85 and $0.57 in the first six months of 2021 and 2020, respectively. Net income attributable to Fiserv, Inc. per share-diluted in the first six months of 2021 included discrete tax items related to the revaluation of deferred taxes due to a change in the respective statutory tax rates in the United Kingdom and Argentina. Net income attributable to Fiserv, Inc. per share-diluted in the first six months of 2020 included a gain from the sale of a 60% interest of our Investment Services business, along with higher merger and integration costs associated with the acquisition of First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using cash flow generated by our operations, along with our cash and cash equivalents of $841 million, proceeds from the issuance of U.S. commercial paper notes, and available capacity under our revolving credit facility of $2.4 billion (net of $1.1 billion of capacity designated for outstanding borrowings under our commercial paper notes program)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operating cash flow and capital expenditure amounts for the six months ended June 30, 2021 and 2020,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Non-cash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net cash provided by operating activities, or operating cash flow, was $2.0 billion in the first six months of 2021, an increase of 5% compared with $1.9 billion in the first six months of 2020. This increase was primarily attributable to improved operating results compared to the prior period, partially offset by unfavorable fluctuations in working capital, including increased accounts receivable corresponding to revenue growth.</w:t>
      </w:r>
    </w:p>
    <w:p>
      <w:pPr>
        <w:spacing w:after="0" w:line="1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6% and 7% of our total revenue for the first six months of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2021, New Omaha Holdings L.P. (“New Omaha”), a shareholder of ours, completed an underwritten secondary public offering of 23.0 million shares of our common stock (the “offering”). We repurchased from the underwriters 5.0 million shares of our common stock that were subject to the offering. The share repurchase totaled $588 million and was funded with cash on hand. The repurchased shares were cancelled and no longer outstanding following the completion of the share repurchase.</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Including the repurchase described above, we purchased $1.2 billion and $1.4 billion of our common stock during the first six months of 2021 and 2020, respectively. As of June 30, 2021, we had approximately 55.5 million shares remaining under our current repurchase authorization. Shares repurchased are generally held for issuance in connection with our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June 2021 we acquired SpendLabs, in May 2021 we acquired Pineapple Payments, and in March 2021 we acquired Radius8. Additionally, in January 2021, we acquired a remaining ownership interest in Ondot, in which we previously held a noncontrolling equity interest. We acquired these businesses for an aggregate purchase price of approximately $526 million, net of $19 million of acquired cash, and including earn-out provisions estimated at an aggregate fair value of $33 million. We funded these acquisitions by utilizing a combination of available cash and existing availability under our revolving credit facility. The results of operations for these acquired businesses are included in our consolidated results from the respective dates of acquisition.</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2020, we acquired Inlet and, in March 2020, we acquired MerchantPro and Bypass. We acquired these businesses for an aggregate purchase price of $167 million, net of $2 million of acquired cash, and including earn-out provisions estimated at a fair value of $45 million. We funded these acquisitions by utilizing a combination of available cash and existing availability under our revolving credit facility. The results of operations for these acquired businesses are included in our consolidated results from the respective dates of acquisition.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Effective July 2020, we and BANA dissolved the BAMS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is included within our Acceptance segment.</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provide merchant processing and related services to former BAMS clients allocated to BANA, at BAMS pricing, through June 2023. We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2020, we sold a 60% controlling interest of our Investment Services business, subsequently renamed as Tegra118. We received pre-tax proceeds of $584 million, net of related expenses, resulting in a pre-tax gain on the sale of $428 million, with the related tax expense of $112 million. The revenues, expenses and cash flows of the Investment Services business were consolidated into our financial results through the date of the sale transaction. The net proceeds from the sale were primarily used to repurchase shares of our common stock.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recognized a pre-tax gain of $28 million, with a related tax expense of $6 million. In June 2021, we sold our entire ownership interest in InvestCloud for $466 million, resulting in a pre-tax gain of $33 million, with a related tax expense of $8 million. The net proceeds from the sale were primarily used to pay down the outstanding borrowings on our term loan facility.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Arial" w:cs="Arial" w:eastAsia="Arial" w:hAnsi="Arial"/>
                <w:sz w:val="16"/>
                <w:szCs w:val="16"/>
                <w:b w:val="1"/>
                <w:bCs w:val="1"/>
                <w:color w:val="auto"/>
                <w:w w:val="92"/>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Foreign lines of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4.750% senior notes due June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October 2022</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3.800% senior notes due October 2023</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2.750% senior notes due July 2024</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3.850% senior notes due June 2025</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3.200% senior notes due July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June 2027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4.200% senior notes due October 2028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July 2029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2.650% senior notes due June 2030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4.400% senior notes due July 2049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securitized loan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Term loan facility</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U.S. commercial paper notes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June 30, 2021, our debt consisted primarily of $17.8 billion of fixed-rate senior notes, $1.1 billion of outstanding borrowings under our U.S. commercial paper notes program, and $755 million of variable rate term loan.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the commercial paper notes program are classified in the consolidated balance sheet as long-term, as we have the intent to refinance these notes on a long-term basis through the continued issuance of new commercial paper notes upon maturity, and we also have the ability to refinance such notes under our revolving credit facility. We used the net proceeds from the issuance of commercial paper notes to repay outstanding borrowings under our revolving credit facility, to repay our 4.750% senior notes that matured in June 2021, and for other general corporate purposes.</w:t>
      </w:r>
    </w:p>
    <w:p>
      <w:pPr>
        <w:spacing w:after="0" w:line="1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from time to time in part, at any time prior to the applicable maturity date.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revolving credit facility and term loan facility contain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first six months of 2021,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Variable Rate Debt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gridSpan w:val="3"/>
          </w:tcPr>
          <w:p>
            <w:pPr>
              <w:spacing w:after="0"/>
              <w:rPr>
                <w:sz w:val="20"/>
                <w:szCs w:val="20"/>
                <w:color w:val="auto"/>
              </w:rPr>
            </w:pPr>
            <w:r>
              <w:rPr>
                <w:rFonts w:ascii="Arial" w:cs="Arial" w:eastAsia="Arial" w:hAnsi="Arial"/>
                <w:sz w:val="18"/>
                <w:szCs w:val="18"/>
                <w:color w:val="auto"/>
                <w:w w:val="98"/>
              </w:rPr>
              <w:t>Our variable rate debt consisted of the following at June 30, 2021:</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Outstanding Borrowings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40" w:type="dxa"/>
            <w:vAlign w:val="bottom"/>
            <w:gridSpan w:val="2"/>
            <w:vMerge w:val="continue"/>
          </w:tcPr>
          <w:p>
            <w:pPr>
              <w:spacing w:after="0"/>
              <w:rPr>
                <w:sz w:val="16"/>
                <w:szCs w:val="16"/>
                <w:color w:val="auto"/>
              </w:rPr>
            </w:pPr>
          </w:p>
        </w:tc>
        <w:tc>
          <w:tcPr>
            <w:tcW w:w="2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Interest Rate</w:t>
            </w: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30.27%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Receivable securitized loan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0.95%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2024</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U.S. commercial paper program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various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2023</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Total variable rate debt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maintain certain short-term lines of credit with foreign banks and alliance partners primarily to fund settlement activity. These arrangements are primarily associated with our international operations and are in various functional currencies, the most significant of which is the Argentine peso.</w:t>
      </w:r>
    </w:p>
    <w:p>
      <w:pPr>
        <w:spacing w:after="0" w:line="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maintain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$1.1 billion in receivables as part of the securitization program, and utilized the receivables as collateral in borrowings of $425 million at June 30, 2021. At June 30, 2021, the collateral capacity under the Receivables Financing Agreement was $840 million, and the maximum borrowing capacity was $500 million.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Beginning in May 2021, we have maintained a U.S. unsecured commercial paper notes program with various maturities ranging from one to three weeks.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under the commercial paper notes bear interest based on the prevailing rates at the time of issuance.</w:t>
      </w:r>
    </w:p>
    <w:p>
      <w:pPr>
        <w:spacing w:after="0" w:line="1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maintain an amended and restated revolving credit facility with aggregate commitments available for $3.5 billion of total capacity. Outstanding borrowings under the revolving credit facility and term loan bear interest at a variable rate based on LIBOR or a base rate, plus, in each case, a specified margin based on our long-term debt rating in effect from time to time. There are no significant commitment fees and no compensating balance requirements on the revolving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Investments (other than those included in settlement assets) with original maturities of three months or less that are readily convertible to cash are considered to be cash equivalents. At June 30, 2021 and December 31, 2020, we held $841 million and $906 million in cash and cash equivalents,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2"/>
              </w:rPr>
              <w:t>June 30,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8"/>
              </w:rPr>
              <w:t>December 31, 2020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60" w:type="dxa"/>
            <w:vAlign w:val="bottom"/>
          </w:tcPr>
          <w:p>
            <w:pPr>
              <w:spacing w:after="0"/>
              <w:rPr>
                <w:sz w:val="14"/>
                <w:szCs w:val="14"/>
                <w:color w:val="auto"/>
              </w:rPr>
            </w:pPr>
          </w:p>
        </w:tc>
        <w:tc>
          <w:tcPr>
            <w:tcW w:w="1300" w:type="dxa"/>
            <w:vAlign w:val="bottom"/>
            <w:gridSpan w:val="2"/>
          </w:tcPr>
          <w:p>
            <w:pPr>
              <w:jc w:val="right"/>
              <w:ind w:right="320"/>
              <w:spacing w:after="0" w:line="172" w:lineRule="exact"/>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80" w:type="dxa"/>
            <w:vAlign w:val="bottom"/>
          </w:tcPr>
          <w:p>
            <w:pPr>
              <w:spacing w:after="0"/>
              <w:rPr>
                <w:sz w:val="14"/>
                <w:szCs w:val="14"/>
                <w:color w:val="auto"/>
              </w:rPr>
            </w:pPr>
          </w:p>
        </w:tc>
        <w:tc>
          <w:tcPr>
            <w:tcW w:w="130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200" w:hanging="328"/>
        <w:spacing w:after="0" w:line="230"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Represents cash held primarily by our joint ventures that is not available to fund operations outside of those entities unless the board of directors for said entities declares a dividend, as well as cash held by certain other entities that are subject to foreign exchange controls in certain countries or regulatory capital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 However, as the impact of the pandemic on the economy and our operations further evolves, we will continue to assess our liquidity needs. The ability to continue to service debt and meet lease and other obligations as they come due is dependent on our continued ability to generate earnings and cash flows. A lack of continued recovery or further deterioration in economic and market conditions could materially affect our future access to our sources of liquidity, particularly our cash flows from operations.</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engage in regular communication with the banks that participate in our revolving credit facility. During these communications, none of the banks have indicated that they may be unable to perform on their commitments.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 We maintain a U.S. commercial paper notes program to access funding for general corporate purposes at favorable rates and to provide a source of liquidity. As of June 30, 2021, we had a commercial paper credit rating of P-2 from Moody’s Investors Service, Inc. (“Moody’s”) and A-2 from Standard &amp; Poor’s Rating Services (“S&amp;P). Any downgrade to our commercial paper credit ratings or instability in the commercial paper markets may adversely impact our ability to access funding through our commercial paper notes program and require us to rely more heavily on more expensive financing arrangements, including our revolving credit facility. In addition, the long-term debt markets have historically provided us with a source of liquidity. Although we do not currently anticipate an inability to obtain financing from long-term debt markets in the future, the COVID-19 pandemic could make financing more difficult and/or expensive to obtain. Our ability to access the long-term debt markets on favorable interest rates and other terms also depends on the ratings assigned by the credit rating agencies to our indebtedness. As of June 30, 2021, we had a corporate credit rating of Baa2 with a stable outlook from Moody’s and BBB with a stable outlook from S&amp;P. In the event that the ratings of our outstanding long-term debt securities were substantially lowered or withdrawn for any reason, or if the ratings assigned to any new issue of long-term debt securities were significantly lower than those noted above, particularly if we no longer had investment grade ratings, our ability to access the debt markets could be adversely affected and our interest expense could increase under the terms of certain of our long-term debt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 information about market risks to which we are exposed, including discussion of risks and potential risks of the COVID-19 pandemic on our business, is included within Item 7A of our Annual Report on Form 10-K for the year ended December 31, 2020. There were no significant changes to our quantitative and qualitative analyses about market risk during the six months ended June 30,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three months ended June 30,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June 30,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Number of</w:t>
            </w: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3"/>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Purchased</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9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or Programs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1-30,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60,488,000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May 1-31, 2021</w:t>
            </w:r>
          </w:p>
        </w:tc>
        <w:tc>
          <w:tcPr>
            <w:tcW w:w="170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117.70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5,000,000</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55,488,000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2021</w:t>
            </w:r>
          </w:p>
        </w:tc>
        <w:tc>
          <w:tcPr>
            <w:tcW w:w="20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55,488,000</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260" w:hanging="328"/>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August 8, 2018 and November 19, 2020, our board of directors authorized the purchase of up to 30.0 million and 60.0 million shares of our common stock, respectively. These authorizations do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20" w:type="dxa"/>
            <w:vAlign w:val="bottom"/>
            <w:gridSpan w:val="4"/>
          </w:tcPr>
          <w:p>
            <w:pPr>
              <w:ind w:left="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3"/>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18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1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3.1</w:t>
            </w:r>
          </w:p>
        </w:tc>
        <w:tc>
          <w:tcPr>
            <w:tcW w:w="1240" w:type="dxa"/>
            <w:vAlign w:val="bottom"/>
          </w:tcPr>
          <w:p>
            <w:pPr>
              <w:spacing w:after="0"/>
              <w:rPr>
                <w:sz w:val="22"/>
                <w:szCs w:val="22"/>
                <w:color w:val="auto"/>
              </w:rPr>
            </w:pPr>
          </w:p>
        </w:tc>
        <w:tc>
          <w:tcPr>
            <w:tcW w:w="9180" w:type="dxa"/>
            <w:vAlign w:val="bottom"/>
            <w:gridSpan w:val="7"/>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Amended and Restated By-laws (1)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40" w:type="dxa"/>
            <w:vAlign w:val="bottom"/>
          </w:tcPr>
          <w:p>
            <w:pPr>
              <w:spacing w:after="0"/>
              <w:rPr>
                <w:sz w:val="24"/>
                <w:szCs w:val="24"/>
                <w:color w:val="auto"/>
              </w:rPr>
            </w:pPr>
          </w:p>
        </w:tc>
        <w:tc>
          <w:tcPr>
            <w:tcW w:w="918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40" w:type="dxa"/>
            <w:vAlign w:val="bottom"/>
          </w:tcPr>
          <w:p>
            <w:pPr>
              <w:spacing w:after="0"/>
              <w:rPr>
                <w:sz w:val="24"/>
                <w:szCs w:val="24"/>
                <w:color w:val="auto"/>
              </w:rPr>
            </w:pPr>
          </w:p>
        </w:tc>
        <w:tc>
          <w:tcPr>
            <w:tcW w:w="9180" w:type="dxa"/>
            <w:vAlign w:val="bottom"/>
            <w:gridSpan w:val="7"/>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of the Chief Executive Officer and Chief Financial Officer pursuant to Section 906 of the Sarbanes-Oxley Act of</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0">
              <w:r>
                <w:rPr>
                  <w:rFonts w:ascii="Arial" w:cs="Arial" w:eastAsia="Arial" w:hAnsi="Arial"/>
                  <w:sz w:val="18"/>
                  <w:szCs w:val="18"/>
                  <w:color w:val="0000FF"/>
                  <w:w w:val="84"/>
                </w:rPr>
                <w:t>2002</w:t>
              </w:r>
            </w:hyperlink>
          </w:p>
        </w:tc>
        <w:tc>
          <w:tcPr>
            <w:tcW w:w="98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18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7"/>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3"/>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1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1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1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1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1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40" w:type="dxa"/>
            <w:vAlign w:val="bottom"/>
          </w:tcPr>
          <w:p>
            <w:pPr>
              <w:spacing w:after="0"/>
              <w:rPr>
                <w:sz w:val="24"/>
                <w:szCs w:val="24"/>
                <w:color w:val="auto"/>
              </w:rPr>
            </w:pPr>
          </w:p>
        </w:tc>
        <w:tc>
          <w:tcPr>
            <w:tcW w:w="918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20" w:lineRule="exact"/>
        <w:rPr>
          <w:rFonts w:ascii="Arial" w:cs="Arial" w:eastAsia="Arial" w:hAnsi="Arial"/>
          <w:sz w:val="17"/>
          <w:szCs w:val="17"/>
          <w:color w:val="auto"/>
        </w:rPr>
      </w:pPr>
    </w:p>
    <w:p>
      <w:pPr>
        <w:ind w:left="340" w:hanging="8"/>
        <w:spacing w:after="0" w:line="253" w:lineRule="auto"/>
        <w:tabs>
          <w:tab w:leader="none" w:pos="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Consolidated Statements of Income for the three and six months ended June 30, 2021 and 2020, (ii) the Consolidated Statements of Comprehensive Income (Loss) for the three and six months ended June 30, 2021 and 2020, (iii) the Consolidated Balance Sheets at June 30, 2021 and December 31, 2020, (iv) the Consolidated Statements of Cash Flows for the six months ended June 30, 2021 and 2020, and (v) Notes to Consolidated Financial Statements.</w:t>
      </w:r>
    </w:p>
    <w:p>
      <w:pPr>
        <w:spacing w:after="0" w:line="220" w:lineRule="exact"/>
        <w:rPr>
          <w:sz w:val="20"/>
          <w:szCs w:val="20"/>
          <w:color w:val="auto"/>
        </w:rPr>
      </w:pPr>
    </w:p>
    <w:p>
      <w:pPr>
        <w:ind w:left="340" w:right="240" w:hanging="332"/>
        <w:spacing w:after="0" w:line="277" w:lineRule="auto"/>
        <w:tabs>
          <w:tab w:leader="none" w:pos="4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on November 2, 2020, and included herein solely to provide an updated hyperlink to the appropriate prior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Arial" w:cs="Arial" w:eastAsia="Arial" w:hAnsi="Arial"/>
                <w:sz w:val="18"/>
                <w:szCs w:val="18"/>
                <w:b w:val="1"/>
                <w:bCs w:val="1"/>
                <w:color w:val="auto"/>
              </w:rPr>
              <w:t>FISERV, INC.</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80"/>
              <w:spacing w:after="0"/>
              <w:rPr>
                <w:sz w:val="20"/>
                <w:szCs w:val="20"/>
                <w:color w:val="auto"/>
              </w:rPr>
            </w:pPr>
            <w:r>
              <w:rPr>
                <w:rFonts w:ascii="Arial" w:cs="Arial" w:eastAsia="Arial" w:hAnsi="Arial"/>
                <w:sz w:val="18"/>
                <w:szCs w:val="18"/>
                <w:color w:val="auto"/>
              </w:rPr>
              <w:t>July 28, 2021</w:t>
            </w:r>
          </w:p>
        </w:tc>
        <w:tc>
          <w:tcPr>
            <w:tcW w:w="274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80"/>
              <w:spacing w:after="0"/>
              <w:rPr>
                <w:sz w:val="20"/>
                <w:szCs w:val="20"/>
                <w:color w:val="auto"/>
              </w:rPr>
            </w:pPr>
            <w:r>
              <w:rPr>
                <w:rFonts w:ascii="Arial" w:cs="Arial" w:eastAsia="Arial" w:hAnsi="Arial"/>
                <w:sz w:val="18"/>
                <w:szCs w:val="18"/>
                <w:color w:val="auto"/>
              </w:rPr>
              <w:t>July 28, 2021</w:t>
            </w:r>
          </w:p>
        </w:tc>
        <w:tc>
          <w:tcPr>
            <w:tcW w:w="2740" w:type="dxa"/>
            <w:vAlign w:val="bottom"/>
          </w:tcPr>
          <w:p>
            <w:pPr>
              <w:ind w:left="19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5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July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July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June 30, 2021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60" w:hanging="309"/>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July 28, 2021</w:t>
            </w:r>
          </w:p>
        </w:tc>
      </w:tr>
      <w:tr>
        <w:trPr>
          <w:trHeight w:val="60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July 28,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abstractNum>
  <w:abstractNum w:abstractNumId="7">
    <w:nsid w:val="109CF92E"/>
    <w:multiLevelType w:val="hybridMultilevel"/>
    <w:lvl w:ilvl="0">
      <w:lvlJc w:val="left"/>
      <w:lvlText w:val="%1."/>
      <w:numFmt w:val="decimal"/>
      <w:start w:val="11"/>
    </w:lvl>
    <w:lvl w:ilvl="1">
      <w:lvlJc w:val="left"/>
      <w:lvlText w:val="%2"/>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lvl w:ilvl="1">
      <w:lvlJc w:val="left"/>
      <w:lvlText w:val="(%2)"/>
      <w:numFmt w:val="lowerRoman"/>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7" Type="http://schemas.openxmlformats.org/officeDocument/2006/relationships/hyperlink" Target="https://www.sec.gov/Archives/edgar/data/0000798354/000119312520283929/d9275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2021-07-28T06:36:38Z</dcterms:created>
  <dcterms:modified xsi:type="dcterms:W3CDTF">2021-07-28T06:36:38Z</dcterms:modified>
</cp:coreProperties>
</file>