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4252.xml.htm"/>
      <w:bookmarkStart w:id="1" w:name="kswkform4_17908942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FRITZ LANCE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FISERV INC</w:t>
              </w:r>
            </w:hyperlink>
            <w:r>
              <w:rPr/>
              <w:t xml:space="preserve"> [ </w:t>
            </w:r>
            <w:r>
              <w:rPr>
                <w:rFonts w:ascii="Times;serif" w:hAnsi="Times;serif"/>
                <w:color w:val="0000FF"/>
                <w:sz w:val="24"/>
                <w:shd w:fill="FFFFFF" w:val="clear"/>
              </w:rPr>
              <w:t>FISV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Notional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45.18</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2026, in respect of $38,750 of deferred compensation. The number of notional units credited is calculated by dividing the amount of compensation that is deferred by the closing price of the company's common stock on the date of deferral, or last business day prior. On September 30, 2026, the closing price of Fiserv's common stock was $45.18 per share. Following cessation of the reporting person's service to the company, each notional unit will be settled in shares of Fiserv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9784" TargetMode="External"/><Relationship Id="rId5" Type="http://schemas.openxmlformats.org/officeDocument/2006/relationships/hyperlink" Target="http://www.sec.gov/cgi-bin/browse-edgar?action=getcompany&amp;CIK=0000798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3828</Characters>
  <CharactersWithSpaces>4467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