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4"/>
          <w:szCs w:val="24"/>
          <w:color w:val="auto"/>
        </w:rPr>
      </w:pPr>
    </w:p>
    <w:p>
      <w:pPr>
        <w:ind w:right="1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7"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19, 2024, there were 575,725,190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2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5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on sale of businesses and other assets</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42"/>
        </w:trPr>
        <w:tc>
          <w:tcPr>
            <w:tcW w:w="55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before income taxes and (loss) income from investments in unconsolidated</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affiliates</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162"/>
        </w:trPr>
        <w:tc>
          <w:tcPr>
            <w:tcW w:w="5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30"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Includes processing and other fees charged to related party investments accounted for under the equity method of $36 million and $45 million for the three months ended June 30, 2024 and 2023, respectively, and $76 million and $91 million </w:t>
      </w:r>
      <w:r>
        <w:rPr>
          <w:rFonts w:ascii="Times New Roman" w:cs="Times New Roman" w:eastAsia="Times New Roman" w:hAnsi="Times New Roman"/>
          <w:sz w:val="17"/>
          <w:szCs w:val="17"/>
          <w:color w:val="auto"/>
        </w:rPr>
        <w:t>for the six months ended June 30, 2024 and</w:t>
      </w:r>
      <w:r>
        <w:rPr>
          <w:rFonts w:ascii="Times New Roman" w:cs="Times New Roman" w:eastAsia="Times New Roman" w:hAnsi="Times New Roman"/>
          <w:sz w:val="16"/>
          <w:szCs w:val="16"/>
          <w:color w:val="auto"/>
        </w:rPr>
        <w:t xml:space="preserve"> 2023, respectively (see Note 19).</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30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5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4"/>
        </w:trPr>
        <w:tc>
          <w:tcPr>
            <w:tcW w:w="5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gains on cash flow hedges</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cost of processing and services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net interest expense</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gain on defined benefit pension plans (see Note 1)</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184"/>
        </w:trPr>
        <w:tc>
          <w:tcPr>
            <w:tcW w:w="5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84"/>
        </w:trPr>
        <w:tc>
          <w:tcPr>
            <w:tcW w:w="5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other comprehensive (loss) income attributable to noncontrolling</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interests</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2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assets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27,681</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34,811</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costs, net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90,890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2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27,681</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33,552</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1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60,221</w:t>
            </w:r>
          </w:p>
        </w:tc>
      </w:tr>
      <w:tr>
        <w:trPr>
          <w:trHeight w:val="19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23,103</w:t>
            </w: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20,444</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at cost, 207 million and 190 million shares, respectively</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(12,915)</w:t>
            </w:r>
          </w:p>
        </w:tc>
      </w:tr>
      <w:tr>
        <w:trPr>
          <w:trHeight w:val="21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29,857</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30,508</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90,890</w:t>
            </w:r>
          </w:p>
        </w:tc>
      </w:tr>
      <w:tr>
        <w:trPr>
          <w:trHeight w:val="23"/>
        </w:trPr>
        <w:tc>
          <w:tcPr>
            <w:tcW w:w="7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8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on sale of businesses and other assets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cash advances,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 from (repayments of)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w:t>
            </w: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six months ended June 30, 2024 and 2023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Realignment</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Effective in the first quarter of 2024, the Company realigned its reportable segments to correspond with changes in its business designed to further enhance operational performance in the delivery of its integrated portfolio of products and solutions to its financial institution clients (the “Segment Realignment”). The Company’s new reportable segments are the Merchant Solutions (“Merchant”) segment and the Financial Solutions (“Financial”) segment. Segment results for the three and six months ended June 30, 2023 have been recast to reflect the Segment Realignment. See Note 20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regulatory or other requirements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17"/>
                <w:szCs w:val="17"/>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1"/>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311"/>
        </w:trPr>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516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$70 million and $86 million at June 30, 2024 and December 31, 2023,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2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cash advances,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2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123"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15).</w:t>
      </w:r>
    </w:p>
    <w:p>
      <w:pPr>
        <w:spacing w:after="0" w:line="13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offers merchants advance access to capital through its Clover Capital program. Under this program, merchants sell fixed amounts of their future credit card receivables to the Company in exchange for an up-front purchase price payment. Future credit card receivables purchased by the Company under the Clover Capital program were $303 million and $281 million at June 30, 2024 and December 31, 2023, respectively. The Company maintained a reserve of $12 million at both June 30, 2024 and December 31, 2023, based on an estimate of uncollectible amounts.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 Company maintains various short-term lines of credit with foreign banks and alliance partners to fund such anticipated settlement activity (see Note 10). These local currency denominated arrangements are primarily associated with the Company’s operations in Latin America, the most significant of which are denominated in Argentine Peso and Brazilian Real. The changes in the Clover Capital and settlement advance cash programs are included in merchant cash advances, net within cash flows from investing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$28 million and $22 million for the three months ended June 30, 2024 and 2023, respectively, and $53 million and $37 million for the six months ended June 30, 2024 and 2023, respectively.</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amount of merchant collateral available to the Company was $640 million and $690 million at June 30, 2024 and December 31, 2023, respectively. The allowance includes estimated losses from anticipated chargebacks and fraud events that have been incurred on merchants’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$38 million and $36 million at June 30, 2024 and December 31,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The Company’s most recent annual impairment assessment of its reporting units in the fourth quarter of 2023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Segment Realignment, the Company performed an interim goodwill impairment assessment in the first quarter of 2024 for the impacted reporting units, and determined that its goodwill was not impaired based on an assessment of various qualitative factors. Examples of qualitative factors that the Company assesses include its share price, its financial performance, market and competitive factors in its industry and other events specific to its reporting units. There is no accumulated goodwill impairment for the Company through June 30, 2024.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$18 million and $32 million for the three months ended June 30, 2024 and 2023, respectively, and $53 million and $50 million for the six months ended June 30, 2024 and 2023, respectively, which is included within other expense, net in the consolidated statements of income.</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7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 maintains frozen noncontributory defined benefit pension plans covering certain employees in Europe and the U.S. Effective September 30, 2023, the Company terminated the United Kingdom (“U.K.”) and U.S. defined benefit pension plans.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to the value of the group annuity insurance contract, resulting in an unrecognized loss, net of tax, of approximately $63 million recorded in accumulated other comprehensive loss within the consolidated balance sheet.</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the settlement of the terminated plans, which is expected to be completed in 2024, the Company will fund the estimated plan termination liability shortfall for the U.S. defined benefit pension plans of approximately $25 million and expects to recognize a net non-cash pre-tax pension settlement charge for the terminated U.S. and U.K. plans of approximately $140 million, which also includes the recognition of remaining net actuarial unrecognized losses recorded within accumulated other comprehensive loss. The amount of accrued vested benefits to be received by participants will not be impacted.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 of Equity Securities Subject to Contractual Sale Restrictions </w:t>
      </w:r>
      <w:r>
        <w:rPr>
          <w:rFonts w:ascii="Times New Roman" w:cs="Times New Roman" w:eastAsia="Times New Roman" w:hAnsi="Times New Roman"/>
          <w:sz w:val="18"/>
          <w:szCs w:val="18"/>
          <w:color w:val="auto"/>
        </w:rPr>
        <w:t>(“ASU 2022-03”), which clarifies the guidance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adopted ASU 2022-03 effective January 1, 2024, and the adoption did not have a material impact on the Company’s consolidated financial statements or disclosures for the six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In 2023, the FASB issued ASU No. 2023-09</w:t>
      </w:r>
      <w:r>
        <w:rPr>
          <w:rFonts w:ascii="Times New Roman" w:cs="Times New Roman" w:eastAsia="Times New Roman" w:hAnsi="Times New Roman"/>
          <w:sz w:val="17"/>
          <w:szCs w:val="17"/>
          <w:i w:val="1"/>
          <w:iCs w:val="1"/>
          <w:color w:val="auto"/>
        </w:rPr>
        <w:t>, Income Taxes (Topic 740) - Improvement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spacing w:after="0" w:line="1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which enhances and expands the current annual and interim requirements on segment information disclosures. Under the new disclosure requirements, entities will be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are effective for fiscal years beginning after December 15, 2023, and for interim periods of fiscal years beginning after December 15, 2024. The Company is currently assessing the impact the adoption of ASU 2023-07 will have on its consolidated financial statement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Additional information regarding the Company’s business segments is included in Note 20. The table below presents the Company’s revenue disaggregated by business line, including a reconciliation with its reportable segments. The Company’s disaggregation of revenue for the three and six months ended June 30, 2023 has been recast to reflect the Segment Realignment. The Company serves its global client base by working among its geographic teams across various regions, including the U.S. and Canada; Europe, Middle East and Africa (“EMEA”); Latin America (“LATAM”); and Asia Pacific (“APAC”). The majority of the Company’s revenue is earned domestically, with revenue generated within its EMEA, LATAM and APAC regions comprising approximately 15% of total revenue for both the three and six months ended June 30, 2024 and 14% of total revenue for both the three and six months ended June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480" w:type="dxa"/>
            <w:vAlign w:val="bottom"/>
            <w:gridSpan w:val="2"/>
          </w:tcPr>
          <w:p>
            <w:pPr>
              <w:spacing w:after="0"/>
              <w:rPr>
                <w:sz w:val="17"/>
                <w:szCs w:val="17"/>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segment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segment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080" w:type="dxa"/>
            <w:vAlign w:val="bottom"/>
            <w:tcBorders>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4,756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bl>
    <w:p>
      <w:pPr>
        <w:spacing w:after="0" w:line="2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where revenue recognition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$504 million of revenue during the six months ended June 30, 2024 that was included in the contract liabilities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June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bl>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October 9, 2023, the Company acquired Skytef Solucões em Captura de Transações Ltda (“Skytef”), a distributor for independent software vendor partners and merchants of the Company’s Electronic Funds Transfer payments software. Skytef is included within the Merchant segment and expands the Company’s distribution network and point-of-sale applications. On November 1, 2023, the Company acquired Sled S.A. (“Sled”), a provider of instant payment solutions. Sled is included within the Merchant segment and expands the Company’s direct payment service capabilities. The Company acquired these businesses in Latin America for an aggregate purchase price, including hold-backs, of $17 million. The purchase price allocations for the Skytef and Sled acquisitions were finalized in the first quarter of 2024, and measurement period adjustments did not have a material impact on the Company’s consolidated statement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2023, the Company sold its financial reconciliation business, which was reported within the Financial segment, for cash proceeds of</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$235 million. The Company recognized a pre-tax gain of $172 million on the sale, recorded within net gain (loss) on sale of businesses and other assets, with a related tax expense of $48 million recorded within the income tax provision, in the consolidated statement of income for the year ended December 31, 2023. The pre-tax gain was comprised of the difference between the consideration received and the net carrying amount of the business, including $38 million of allocated goodwill; $15 million of other net assets, primarily consisting of trade accounts receivable and capitalized software; and $10 million of accumulated foreign currency translation losses which were reclassified from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$586 million and $614 million for the three months ended June 30, 2024 and 2023, respectively, and $1.2 billion for both the six months ended June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deterioration in value, including significant changes in business relationships with merchant alliances. A deterioration in value of an equity method investment determined to be other-than-temporary is recorded as a current-period impairment charge within income (loss) from investments in unconsolidated affiliates in the consolidated statements of income. The estimated fair values of the Company’s investments in unconsolidated merchant alliances assume a continuation beyond the existing contractual term. A renewal of certain of the merchant alliance agreements beyond the current contractual term is not solely within the Company’s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 The Company’s investment in its merchant alliances was $1.9 billion at both June 30, 2024 and December 31, 2023, and is reported within investments in unconsolidated affiliates in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$157 million and $156 million at June 30, 2024 and December 31, 2023,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securities and net gains from sales of equity securities were $6 million and $27 million during the three and six months ended June 30, 2024, respectively, and were not significant during the three and six months ended June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$464 million and $443 million at June 30, 2024 and December 31, 2023, respectively. Based on the amounts recorded in accumulated other comprehensive loss at June 30, 2024, the Company estimates that it will recognize gains of approximately $4 million in cost of processing and services during the next twelve months as foreign exchange forward contracts settle.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interest rates in anticipation of the issuance of fixed rate debt in connection with the acquisition and refinancing of certain indebtedness of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Corporation and its subsidiaries. In 2019, concurrent with the issuance of U.S dollar-denominated senior notes, the Treasury Locks were settled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loss, net of income taxes, and recorded in accumulated other comprehensive loss that is being amortized to earnings over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originally forecast interest payments. The unamortized balance recorded in accumulated other comprehensive loss related to the Treasury Locks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million and $116 million at June 30, 2024 and December 31, 2023, respectively. Based on the amounts recorded in accumulated other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at June 30, 2024, the Company estimates that it will recognize approximately $13 million in net interest expense during the next twelve months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settled interest rate hedge contracts.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jc w:val="right"/>
              <w:ind w:right="3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1"/>
        </w:trPr>
        <w:tc>
          <w:tcPr>
            <w:tcW w:w="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98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$(8) million and $18 million during the three months ended June 30, 2024 and 2023, respectively, and $(39) million and $40 million during the six months ended June 30, 2024 and 2023,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maintains fixed-to-fixed cross-currency rate swap contracts, designated as fair value hedges, to mitigate the spot foreign exchange rate risk on the principal amount of its British Pound-denominated 2.250% senior notes due in July 2025, as well as on the principal amount of a Euro-denominated intercompany note.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Pounds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changes in the fair value of the cross-currency rate swaps ($2 million and $0 million for the three and six months ended June 30, 2024, respectively), along with the offsetting changes in the fair value of the hedged notes, attributable to fluctuations in the respective foreign currency spot rates are recognized in other expense, net within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is estimated using the present value of a probability-weighted assessment approach based on the likelihood of achieving the earn-out criteria. The Company’s obligation to purchase a redeemable noncontrolling interest in one of its existing merchant alliance joint ventures (see Note 11) is measured at the estimated fair value of the minority interest. This obligation will be settled at a future date through the distribution of certain merchant contracts to the minority partner.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8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Pr>
          <w:p>
            <w:pPr>
              <w:spacing w:after="0"/>
              <w:rPr>
                <w:sz w:val="14"/>
                <w:szCs w:val="14"/>
                <w:color w:val="auto"/>
              </w:rPr>
            </w:pPr>
          </w:p>
        </w:tc>
        <w:tc>
          <w:tcPr>
            <w:tcW w:w="134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4"/>
                <w:szCs w:val="14"/>
                <w:color w:val="auto"/>
              </w:rPr>
            </w:pPr>
          </w:p>
        </w:tc>
        <w:tc>
          <w:tcPr>
            <w:tcW w:w="13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80" w:type="dxa"/>
            <w:vAlign w:val="bottom"/>
            <w:gridSpan w:val="2"/>
            <w:vMerge w:val="continue"/>
          </w:tcPr>
          <w:p>
            <w:pPr>
              <w:spacing w:after="0"/>
              <w:rPr>
                <w:sz w:val="17"/>
                <w:szCs w:val="17"/>
                <w:color w:val="auto"/>
              </w:rPr>
            </w:pPr>
          </w:p>
        </w:tc>
        <w:tc>
          <w:tcPr>
            <w:tcW w:w="12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280" w:type="dxa"/>
            <w:vAlign w:val="bottom"/>
          </w:tcPr>
          <w:p>
            <w:pPr>
              <w:spacing w:after="0"/>
              <w:rPr>
                <w:sz w:val="17"/>
                <w:szCs w:val="17"/>
                <w:color w:val="auto"/>
              </w:rPr>
            </w:pPr>
          </w:p>
        </w:tc>
        <w:tc>
          <w:tcPr>
            <w:tcW w:w="124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 as</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flow hedges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w:t>
            </w: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Obligation to purchase redeemable</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$23.6 billion and $21.6 billion at June 30, 2024 and December 31, 2023, respectively, and the carrying value was $24.5 billion and $22.2 billion at June 30, 2024 and December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Lending Joint Ventures maintain variable-rate term loan facilities with aggregate outstanding borrowings of $432 million in senior unsecured debt at June 30, 2024 and variable-rate revolving credit facilities with an aggregate borrowing capacity of $83 million with a syndicate of banks, which mature in April 2027. There were $19 million of aggregate outstanding borrowings on the revolving credit facilities at June 30, 2024. The Company has guaranteed the debt of the Lending Joint Ventures.</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$515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$26 million and $31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approximates the fair value at June 30, 2024 and December 31, 2023,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$5 million and $3 million during the three months ended June 30, 2024 and 2023, respectively, and $9 million and $5 million during the six months ended June 30, 2024 and 2023, respectively,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(see Note 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15)</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six months ended June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4,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June 30, 2024, the 2.750% senior notes due in July 2024 and 3.850% senior notes due in June 2025 were classified in the consolidated balance sheet as long-term, as the Company has either subsequently refinanced or has the intent to refinance this debt on a long-term basis, and the ability to do so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indentures governing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$667 million and $418 million at June 30, 2024 and December 31, 2023, respectively, with weighted average interest rates of 5.560% and 5.454%, respectively. Outstanding borrowings under the Euro program were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$1.3 billion at both June 30, 2024 and December 31, 2023, with weighted average interest rates of 3.843% and 4.029%,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There were no outstanding borrowings under the revolving credit facility at June 30, 2024. Outstanding borrowings under the revolving credit facility were $74 million at December 31, 2023, with a corresponding interest rate of 6.450%.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settlement activity associated with operations in Latin America, including an annually renewable term loan facility to fund settlement advance cash payments in Brazil. This term loan has a notional value of 514 million Brazilian real ($93 million USD equivalent) at June 30,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the Company’s foreign lines of credit and other borrowing arrangements by country: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43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10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9"/>
                <w:szCs w:val="19"/>
                <w:color w:val="auto"/>
              </w:rPr>
            </w:pPr>
          </w:p>
        </w:tc>
        <w:tc>
          <w:tcPr>
            <w:tcW w:w="23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66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40.363 %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121.581 %</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11.612 %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13.500 %</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10.277 %</w:t>
            </w: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11.125 %</w:t>
            </w: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2.825 %</w:t>
            </w:r>
          </w:p>
        </w:tc>
        <w:tc>
          <w:tcPr>
            <w:tcW w:w="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4.912 %</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31.623 %</w:t>
            </w: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1% interest which is presented outside of equity and carried at its estimated redemption value. The minority partner is entitled to a contractually determined share of the entity’s income, and the joint venture agreement contains redemption features whereby the interest held by the minority partner is redeemable either (i) at the option of the holder or (ii) upon the occurrence of an event that is not solely within the Company’s control.</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June 1, 2024, the Company and the merchant alliance joint venture minority partner mutually agreed to terminate the joint venture agreement on September 1, 2024. Under the provisions of the separation agreement, the Company will redeem the minority partner’s membership interest in exchange for a distribution of certain merchant contracts. The redeemable noncontrolling interest was adjusted to reflect the estimated redemption value, with a corresponding adjustment recorded to additional paid-in capital (see Notes 8 and 12). Additionally, as the redeemable noncontrolling interest is now mandatorily redeemable, the Company’s obligation to purchase the interest has been reclassified as a current liability in the accompanying consolidated balance sheet at June 30, 2024 (see Note 9). The Company will maintain an ongoing relationship with the minority partner to provide processing and other support services following termination of the joint venture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during the six months ended June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 of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current liability</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Change in estimated redemption value</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of redeemable noncontrolling</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(see Note 11)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3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June 30, 2024 is different than the amount presented in the consolidated statement of income due to the net income attributable to redeemable noncontrolling interest of $7 million not included in equity.</w:t>
      </w:r>
    </w:p>
    <w:p>
      <w:pPr>
        <w:spacing w:after="0" w:line="142" w:lineRule="exact"/>
        <w:rPr>
          <w:rFonts w:ascii="Times New Roman" w:cs="Times New Roman" w:eastAsia="Times New Roman" w:hAnsi="Times New Roman"/>
          <w:sz w:val="21"/>
          <w:szCs w:val="21"/>
          <w:color w:val="auto"/>
          <w:vertAlign w:val="superscript"/>
        </w:rPr>
      </w:pPr>
    </w:p>
    <w:p>
      <w:pPr>
        <w:ind w:left="660" w:right="4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June 30, 2024 excludes $6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right="76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June 30, 2023</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520"/>
        <w:spacing w:after="0" w:line="283" w:lineRule="auto"/>
        <w:rPr>
          <w:sz w:val="20"/>
          <w:szCs w:val="20"/>
          <w:color w:val="auto"/>
        </w:rPr>
      </w:pPr>
      <w:r>
        <w:rPr>
          <w:rFonts w:ascii="Times New Roman" w:cs="Times New Roman" w:eastAsia="Times New Roman" w:hAnsi="Times New Roman"/>
          <w:sz w:val="14"/>
          <w:szCs w:val="14"/>
          <w:color w:val="auto"/>
        </w:rPr>
        <w:t xml:space="preserve">Balance at March 31, 2023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right="260"/>
        <w:spacing w:after="0" w:line="311" w:lineRule="auto"/>
        <w:rPr>
          <w:sz w:val="20"/>
          <w:szCs w:val="20"/>
          <w:color w:val="auto"/>
        </w:rPr>
      </w:pPr>
      <w:r>
        <w:rPr>
          <w:rFonts w:ascii="Times New Roman" w:cs="Times New Roman" w:eastAsia="Times New Roman" w:hAnsi="Times New Roman"/>
          <w:sz w:val="14"/>
          <w:szCs w:val="14"/>
          <w:color w:val="auto"/>
        </w:rPr>
        <w:t>Other comprehensive income Share-based compensation Shares issued under stock plans Purchases of treasury stock Balance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-1165225</wp:posOffset>
            </wp:positionV>
            <wp:extent cx="70719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-899795</wp:posOffset>
            </wp:positionV>
            <wp:extent cx="707199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-556895</wp:posOffset>
            </wp:positionV>
            <wp:extent cx="707199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-299720</wp:posOffset>
            </wp:positionV>
            <wp:extent cx="707199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00"/>
            <w:col w:w="8920"/>
          </w:cols>
          <w:pgMar w:left="320" w:top="121" w:right="359" w:bottom="1440" w:gutter="0" w:footer="0" w:header="0"/>
          <w:type w:val="continuous"/>
        </w:sectPr>
      </w:pPr>
    </w:p>
    <w:p>
      <w:pPr>
        <w:spacing w:after="0" w:line="16" w:lineRule="exact"/>
        <w:rPr>
          <w:sz w:val="20"/>
          <w:szCs w:val="20"/>
          <w:color w:val="auto"/>
        </w:rPr>
      </w:pPr>
    </w:p>
    <w:p>
      <w:pPr>
        <w:ind w:left="660" w:right="14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June 30, 2023 is different than the amount presented in the consolidated statement of income due to the net income attributable to redeemable noncontrolling interest of $6 million not included in equity.</w:t>
      </w:r>
    </w:p>
    <w:p>
      <w:pPr>
        <w:spacing w:after="0" w:line="109"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June 30, 2023 excludes $5 million in distributions paid to redeemable noncontrolling interest</w:t>
      </w:r>
    </w:p>
    <w:p>
      <w:pPr>
        <w:sectPr>
          <w:pgSz w:w="11900" w:h="16838" w:orient="portrait"/>
          <w:cols w:equalWidth="0" w:num="1">
            <w:col w:w="11220"/>
          </w:cols>
          <w:pgMar w:left="320" w:top="121" w:right="35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included in equity.</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20" w:right="16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220" w:hanging="161"/>
        <w:spacing w:after="0" w:line="233" w:lineRule="auto"/>
        <w:rPr>
          <w:sz w:val="20"/>
          <w:szCs w:val="20"/>
          <w:color w:val="auto"/>
        </w:rPr>
      </w:pPr>
      <w:r>
        <w:rPr>
          <w:rFonts w:ascii="Times New Roman" w:cs="Times New Roman" w:eastAsia="Times New Roman" w:hAnsi="Times New Roman"/>
          <w:sz w:val="14"/>
          <w:szCs w:val="14"/>
          <w:color w:val="auto"/>
        </w:rPr>
        <w:t>Change in estimated redemption value of redeemable noncontrolling interest (see Note 11)</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-678815</wp:posOffset>
            </wp:positionV>
            <wp:extent cx="708914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-413385</wp:posOffset>
            </wp:positionV>
            <wp:extent cx="708914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21463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280" w:space="80"/>
            <w:col w:w="886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19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9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6"/>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w:t>
            </w:r>
          </w:p>
        </w:tc>
      </w:tr>
      <w:tr>
        <w:trPr>
          <w:trHeight w:val="22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8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784</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624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28,778</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six months ended June 30, 2024 is different than the amount presented in the consolidated statement of income due to the net income attributable to redeemable noncontrolling interest of $13 million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8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six months ended June 30, 2024 excludes $13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June 30, 2023</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80" w:right="300"/>
        <w:spacing w:after="0" w:line="283" w:lineRule="auto"/>
        <w:rPr>
          <w:sz w:val="20"/>
          <w:szCs w:val="20"/>
          <w:color w:val="auto"/>
        </w:rPr>
      </w:pPr>
      <w:r>
        <w:rPr>
          <w:rFonts w:ascii="Times New Roman" w:cs="Times New Roman" w:eastAsia="Times New Roman" w:hAnsi="Times New Roman"/>
          <w:sz w:val="14"/>
          <w:szCs w:val="14"/>
          <w:color w:val="auto"/>
        </w:rPr>
        <w:t xml:space="preserve">Balance at December 31, 2022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24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80" w:right="240"/>
        <w:spacing w:after="0" w:line="311" w:lineRule="auto"/>
        <w:rPr>
          <w:sz w:val="20"/>
          <w:szCs w:val="20"/>
          <w:color w:val="auto"/>
        </w:rPr>
      </w:pPr>
      <w:r>
        <w:rPr>
          <w:rFonts w:ascii="Times New Roman" w:cs="Times New Roman" w:eastAsia="Times New Roman" w:hAnsi="Times New Roman"/>
          <w:sz w:val="14"/>
          <w:szCs w:val="14"/>
          <w:color w:val="auto"/>
        </w:rPr>
        <w:t>Other comprehensive income Share-based compensation Shares issued under stock plans Purchases of treasury stock Balance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31,527</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30,716</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-1165225</wp:posOffset>
            </wp:positionV>
            <wp:extent cx="70719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-899795</wp:posOffset>
            </wp:positionV>
            <wp:extent cx="7071995"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-556895</wp:posOffset>
            </wp:positionV>
            <wp:extent cx="707199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-299720</wp:posOffset>
            </wp:positionV>
            <wp:extent cx="707199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220"/>
            <w:col w:w="8860"/>
          </w:cols>
          <w:pgMar w:left="320" w:top="121" w:right="359" w:bottom="1440" w:gutter="0" w:footer="0" w:header="0"/>
          <w:type w:val="continuous"/>
        </w:sectPr>
      </w:pPr>
    </w:p>
    <w:p>
      <w:pPr>
        <w:spacing w:after="0" w:line="43" w:lineRule="exact"/>
        <w:rPr>
          <w:sz w:val="20"/>
          <w:szCs w:val="20"/>
          <w:color w:val="auto"/>
        </w:rPr>
      </w:pPr>
    </w:p>
    <w:p>
      <w:pPr>
        <w:ind w:left="660" w:hanging="328"/>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six months ended June 30, 2023 is different than the amount presented in the consolidated statement of income due to the net income attributable to redeemable noncontrolling interest of $13 million not included in equity.</w:t>
      </w:r>
    </w:p>
    <w:p>
      <w:pPr>
        <w:spacing w:after="0" w:line="141" w:lineRule="exact"/>
        <w:rPr>
          <w:rFonts w:ascii="Times New Roman" w:cs="Times New Roman" w:eastAsia="Times New Roman" w:hAnsi="Times New Roman"/>
          <w:sz w:val="21"/>
          <w:szCs w:val="21"/>
          <w:color w:val="auto"/>
          <w:vertAlign w:val="superscript"/>
        </w:rPr>
      </w:pPr>
    </w:p>
    <w:p>
      <w:pPr>
        <w:ind w:left="660" w:right="8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six months ended June 30, 2023 excludes $13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7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1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40" w:type="dxa"/>
            <w:vAlign w:val="bottom"/>
            <w:gridSpan w:val="2"/>
            <w:vMerge w:val="continue"/>
          </w:tcPr>
          <w:p>
            <w:pPr>
              <w:spacing w:after="0"/>
              <w:rPr>
                <w:sz w:val="17"/>
                <w:szCs w:val="17"/>
                <w:color w:val="auto"/>
              </w:rPr>
            </w:pPr>
          </w:p>
        </w:tc>
        <w:tc>
          <w:tcPr>
            <w:tcW w:w="17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72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March 31, 2024</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(75)</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tcPr>
          <w:p>
            <w:pPr>
              <w:spacing w:after="0"/>
              <w:rPr>
                <w:sz w:val="20"/>
                <w:szCs w:val="20"/>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(16)</w:t>
            </w:r>
          </w:p>
        </w:tc>
        <w:tc>
          <w:tcPr>
            <w:tcW w:w="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-351155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7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8"/>
        </w:trPr>
        <w:tc>
          <w:tcPr>
            <w:tcW w:w="4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72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400" w:type="dxa"/>
            <w:vAlign w:val="bottom"/>
            <w:vMerge w:val="continue"/>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1"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80" w:right="700" w:hanging="161"/>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(see Note 1)</w:t>
      </w:r>
    </w:p>
    <w:p>
      <w:pPr>
        <w:spacing w:after="0" w:line="10" w:lineRule="exact"/>
        <w:rPr>
          <w:sz w:val="20"/>
          <w:szCs w:val="20"/>
          <w:color w:val="auto"/>
        </w:rPr>
      </w:pPr>
    </w:p>
    <w:p>
      <w:pPr>
        <w:ind w:left="180" w:right="1680" w:hanging="161"/>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tcPr>
          <w:p>
            <w:pPr>
              <w:spacing w:after="0"/>
              <w:rPr>
                <w:sz w:val="24"/>
                <w:szCs w:val="24"/>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(79)</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418"/>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-762000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-471170</wp:posOffset>
            </wp:positionV>
            <wp:extent cx="713232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48"/>
        </w:trPr>
        <w:tc>
          <w:tcPr>
            <w:tcW w:w="4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00" w:type="dxa"/>
            <w:vAlign w:val="bottom"/>
            <w:vMerge w:val="continue"/>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recognized $99 million and $106 million of share-based compensation expense during the three months ended June 30, 2024 and 2023, respectively, and $185 million and $199 million of share-based compensation expense during the six months ended June 30, 2024 and 2023, respectively. The Company’s share-based compensation awards are typically granted in the first quarter of the year, and may also occur throughout the year in conjunction with acquisitions of businesses. At June 30, 2024, the total remaining unrecognized compensation cost for restricted stock units and awards, performance share units, and unvested stock options, net of estimated forfeitures, of $464 million is expected to be recognized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six months ended June 30, 2024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June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six months ended June 30, 2024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June 30,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87.42</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7"/>
                <w:szCs w:val="17"/>
                <w:color w:val="auto"/>
              </w:rPr>
            </w:pPr>
          </w:p>
        </w:tc>
        <w:tc>
          <w:tcPr>
            <w:tcW w:w="6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20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r>
    </w:tbl>
    <w:p>
      <w:pPr>
        <w:spacing w:after="0" w:line="2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19.4% and 20.7% for the three months ended June 30, 2024 and 2023, respectively, and 18.2% and 19.2% for the six months ended June 30, 2024 and 2023, respectively. The effective income tax rate for each of the six months ended June 30, 2024 and 2023 included discrete tax benefits from equity compensation.</w:t>
      </w:r>
    </w:p>
    <w:p>
      <w:pPr>
        <w:spacing w:after="0" w:line="12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has purchased transferable federal tax credits from various counterparties. Such federal tax credits were purchased at negotiated discounts, resulting in an income tax benefit.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June 30, 2024 and December 31, 2023.</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$89 million at June 30, 2024. The Company believes it is reasonably possible that the liability for unrecognized tax benefits may decrease by up to $5 million over the next twelve months as a result of possible closure of tax audits, audit settlements, and the lapse of the statutes of limitations in various jurisdictions.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2024, the Company’s U.S. federal income tax return for 2023, and tax returns in certain states and foreign jurisdictions for 2017 through 2023, remain subject to examination by taxing authorities.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jc w:val="right"/>
              <w:ind w:right="3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1140" w:type="dxa"/>
            <w:vAlign w:val="bottom"/>
          </w:tcPr>
          <w:p>
            <w:pPr>
              <w:jc w:val="right"/>
              <w:ind w:right="3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
        </w:trPr>
        <w:tc>
          <w:tcPr>
            <w:tcW w:w="8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2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6"/>
        </w:trPr>
        <w:tc>
          <w:tcPr>
            <w:tcW w:w="62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and 2023, stock options for 66 thousand and 911 thousand shares, respectively, were excluded from the calculation of weighted-average outstanding shares - diluted because their impact was anti-dilutive. For the six months ended June 30, 2024 and 2023, stock options for 51 thousand and 984 thousand shares, respectively, were excluded from the calculation of weighted-average outstanding shares - diluted because their impact was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Legislative Matters</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$38 million and $32 million at June 30, 2024 and December 31, 2023, respectively, related to its various legal proceedings, primarily associated with the Company’s merchant acquiring business and certain tax matters. The Company’s estimate of the possible range of exposure for various legal proceedings in excess of amounts accrued is $0 million to approximately $100 million. In the opinion of management, the liabilities, if any, which may ultimately result from such legal proceedings are not expected to have a material adverse effect on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$733 million and $3.5 billion at June 30, 2024 and December 31,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Payments, net of recoveries, under such indemnification or warranty provisions were not material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financial institutions.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$37 million and $45 million for the three months ended June 30, 2024 and 2023, respectively, and $77 million and $91 million for the six months ended June 30, 2024 and 2023,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$31 million and $38 million of amounts due from unconsolidated merchant alliances included within trade accounts receivable, net in the Company’s consolidated balance sheets at June 30, 2024 and December 31, 2023,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Following the Segment Realignment (see Note 1), the Company’s operations are comprised of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spacing w:after="0" w:line="122" w:lineRule="exact"/>
        <w:rPr>
          <w:sz w:val="20"/>
          <w:szCs w:val="20"/>
          <w:color w:val="auto"/>
        </w:rPr>
      </w:pPr>
    </w:p>
    <w:p>
      <w:pPr>
        <w:ind w:left="660" w:right="140" w:hanging="328"/>
        <w:spacing w:after="0" w:line="23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point-of-sale integrated commerce operating system for small business clients</w:t>
      </w:r>
    </w:p>
    <w:p>
      <w:pPr>
        <w:spacing w:after="0" w:line="88" w:lineRule="exact"/>
        <w:rPr>
          <w:rFonts w:ascii="Times New Roman" w:cs="Times New Roman" w:eastAsia="Times New Roman" w:hAnsi="Times New Roman"/>
          <w:sz w:val="18"/>
          <w:szCs w:val="18"/>
          <w:i w:val="1"/>
          <w:iCs w:val="1"/>
          <w:color w:val="auto"/>
        </w:rPr>
      </w:pPr>
    </w:p>
    <w:p>
      <w:pPr>
        <w:ind w:left="660" w:right="420" w:hanging="328"/>
        <w:spacing w:after="0" w:line="23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the Company's integrated commerce operating system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w:t>
      </w:r>
    </w:p>
    <w:p>
      <w:pPr>
        <w:spacing w:after="0" w:line="8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results for each segment were as follows: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 w:type="dxa"/>
            <w:vAlign w:val="bottom"/>
            <w:tcBorders>
              <w:right w:val="single" w:sz="8" w:color="CCEEFF"/>
            </w:tcBorders>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in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2023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0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and six months ended June 30, 2024 to the comparable periods in 2023.</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June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133"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Effective in the first quarter of 2024, we realigned our reportable segments to correspond with changes in our business designed to further enhance operational performance in the delivery of our integrated portfolio of products and solutions to our financial institution clients (the “Segment Realignment”). Our new reportable segments are the Merchant Solutions (“Merchant”) segment and the Financial Solutions (“Financial”) segment. Segment results for the three and six months ended June 30, 2023 have been recast to reflect the Segment Realignment.</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spacing w:after="0" w:line="118" w:lineRule="exact"/>
        <w:rPr>
          <w:sz w:val="20"/>
          <w:szCs w:val="20"/>
          <w:color w:val="auto"/>
        </w:rPr>
      </w:pPr>
    </w:p>
    <w:p>
      <w:pPr>
        <w:ind w:left="660" w:right="500" w:hanging="328"/>
        <w:spacing w:after="0" w:line="230"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point-of-sale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commerce operating system for small business clients</w:t>
      </w:r>
    </w:p>
    <w:p>
      <w:pPr>
        <w:spacing w:after="0" w:line="88" w:lineRule="exact"/>
        <w:rPr>
          <w:rFonts w:ascii="Times New Roman" w:cs="Times New Roman" w:eastAsia="Times New Roman" w:hAnsi="Times New Roman"/>
          <w:sz w:val="18"/>
          <w:szCs w:val="18"/>
          <w:i w:val="1"/>
          <w:iCs w:val="1"/>
          <w:color w:val="auto"/>
        </w:rPr>
      </w:pPr>
    </w:p>
    <w:p>
      <w:pPr>
        <w:ind w:left="660" w:right="500" w:hanging="328"/>
        <w:spacing w:after="0" w:line="230"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our integrated commerce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89"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the Merchant segment businesses through a variety of channels, including direct sales teams, strategic partnerships with agent sales forces, independent software vendors (“ISV”), financial institutions and other strategic partners in the form of joint venture alliances, revenue sharing alliances and referral agreements.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strategies. The results of operations for the following acquired and divested businesses are included in our consolidated results from the respective dates of acquisition and through the respective dates of disposition.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9, 2023, we acquired Skytef Solucões em Captura de Transações Ltda (“Skytef”), a distributor for ISV partners and merchants of our Electronic Funds Transfer payments software. Skytef is included within the Merchant segment and expands our distribution network and POS applications. On November 1, 2023, we acquired Sled S.A. (“Sled”), a provider of instant payment solutions. Sled is included within the Merchant segment and expands our direct payment service capabilities. We acquired these businesses in Latin America for an aggregate purchase price, including hold-backs, of $17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 of Businesses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July 25, 2023, we sold our financial reconciliation business, which was reported within the Financial segment, for cash proceeds of $235 million, and recognized a pre-tax gain of $172 million on the sale in the third quarter of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Merchant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rising interest rates, inflation, disruptions in the global supply chain, changes in consumer spending, the effects of international hostilities, political conditions, and regulations restricting trade or impacting our ability to offer products or services, could have a material adverse effect on our business, results of operations and financial condition. Personal consumption and consumer savings growth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domestically, we actively monitor the foreign exchange rate environment and may enter into derivative instruments and utilize other non-derivative hedging instruments with creditworthy institutions in an effort to manage these risks.</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operations of our Argentina subsidiary are experiencing higher interest rates and inflation as compared to historical averages. The anticipated benefits of higher transitory revenue from above-average interest and inflation may be offset in whole or in part by, or may be less than, foreign currency exchange losses related to a significant devaluation of the Argentine Peso.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2023,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and may record purchase accounting adjustments during the measurement period, which may be up to one year from the acquisition date. Additionally, we review the carrying value of goodwill for impairment by comparing the estimated fair value of our reporting units to their carrying values. Determining the fair value of a reporting unit involves judgement and the use of significant estimates and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 Segment results for the three and six months ended June 30, 2023 have been recast to reflect the Segment Realignment.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183"/>
        </w:trPr>
        <w:tc>
          <w:tcPr>
            <w:tcW w:w="20" w:type="dxa"/>
            <w:vAlign w:val="bottom"/>
          </w:tcPr>
          <w:p>
            <w:pPr>
              <w:spacing w:after="0"/>
              <w:rPr>
                <w:sz w:val="15"/>
                <w:szCs w:val="15"/>
                <w:color w:val="auto"/>
              </w:rPr>
            </w:pPr>
          </w:p>
        </w:tc>
        <w:tc>
          <w:tcPr>
            <w:tcW w:w="4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18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20" w:type="dxa"/>
            <w:vAlign w:val="bottom"/>
          </w:tcPr>
          <w:p>
            <w:pPr>
              <w:spacing w:after="0"/>
              <w:rPr>
                <w:sz w:val="19"/>
                <w:szCs w:val="19"/>
                <w:color w:val="auto"/>
              </w:rPr>
            </w:pPr>
          </w:p>
        </w:tc>
        <w:tc>
          <w:tcPr>
            <w:tcW w:w="4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155"/>
        </w:trPr>
        <w:tc>
          <w:tcPr>
            <w:tcW w:w="20" w:type="dxa"/>
            <w:vAlign w:val="bottom"/>
          </w:tcPr>
          <w:p>
            <w:pPr>
              <w:spacing w:after="0"/>
              <w:rPr>
                <w:sz w:val="13"/>
                <w:szCs w:val="13"/>
                <w:color w:val="auto"/>
              </w:rPr>
            </w:pPr>
          </w:p>
        </w:tc>
        <w:tc>
          <w:tcPr>
            <w:tcW w:w="40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175"/>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(Loss) income from investments in unconsolidated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175"/>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80" w:hanging="328"/>
        <w:spacing w:after="0" w:line="225"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on sale of businesses and other assets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300" w:hanging="328"/>
        <w:spacing w:after="0" w:line="232"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bps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bps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revenue increased $351 million, or 7%, in the second quarter of 2024 and increased $687 million, or 7%, in the first six months of 2024 compared to 2023. The revenue increase was driven by higher global processing revenue in both our Merchant and Financial segments, partially offset by a 9% and 10% decrease due to foreign currency exchange rate fluctuations in the second quarter and first six months of 2024, respectively.</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Revenue in our Merchant segment increased $204 million, or 9%, in the second quarter of 2024 and increased $461 million, or 11%, in the first six months of 2024 compared to 2023. In the second quarter and first six months of 2024, Small Business contributed 8% and 9% to segment revenue growth, respectively, driven by an increase in payment and transaction volume, partially offset by foreign currency exchange rate fluctuations. Small Business revenue growth also includes contributions from our Clover operating system and the expansion of our merchant relationships through value-added services. Additionally, Enterprise contributed 2% in both the second quarter and first six months of 2024, primarily driven by transaction growth, while Processing negatively impacted Merchant segment revenue growth by 1% in the second quarter of 2024.</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 in our Financial segment increased $134 million, or 6%, in the second quarter of 2024 and increased $196 million, or 4%, in the first six months of 2024 compared to 2023. Digital Payments contributed 3% to segment revenue growth in both the second quarter and first six months of 2024, primarily driven by an increase in transaction volume and new client wins. Issuing contributed 2% and 1% to segment growth in the second quarter and first six months of 2024, respectively, primarily driven by an increase in active accounts, primarily in our international regions, while Banking contributed 1% in the second quarter of 2024.</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$13 million, or 4%, in the second quarter of 2024 and increased $30 million, or 5%, in the first six months of 2024 compared to 2023, primarily due to increased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expenses increased $54 million, or 1%, in the second quarter of 2024 and $143 million, or 2%, in the first six months of 2024 compared to 2023. Total expenses as a percentage of total revenue decreased 420 basis points to 72.0% in the second quarter of 2024 and 390 basis points to 73.9% in the first six months of 2024 compared to 2023. Total expenses as a percentage of total revenue were favorably impacted by operating leverage across our various businesses, as well as a reduction in amortization of acquisition-related intangible assets of approximately 120 basis points in both the second quarter and first six months of 2024.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32.4% in the second quarter of 2024 compared to 34.4% in the second quarter of 2023 and decreased to 33.1% in the first six months of 2024 compared to 36.3% in the first six months of 2023. Cost of processing and services as a percentage of processing and services revenue was favorably impacted by strong operating leverage accompanying scalable revenue growth in the second quarter and first six months of 2024.</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66.1% in the second quarter of 2024 compared to 69.5% in the second quarter of 2023 and increased to 69.7% in the first six months of 2024 compared to 69.1% in the first six months of 2023. The cost of product as a percentage of product revenue in the second quarter and first six months of 2024 was impacted by revenue mix, including an increase in high margin license revenue in the second quarter of 2024 compared to 2023.</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33.2% in the second quarter of 2024 compared to 35.7% in the second quarter of 2023 and decreased to 34.0% in the first six months of 2024 compared to 35.5% in the first six months of 2023. Selling, general and administrative expenses as a percentage of total revenue was favorably impacted by a reduction in amortization of acquisition-related intangible assets of approximately 90 basis points in both the second quarter and first six months of 2024, as well as a reduction in acquisition and integration related expenses of approximately 20 basis points and 30 basis points in the second quarter and first six months of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Total operating income increased $297 million, or 26%, in the second quarter of 2024 and increased $544 million, or 26%, in the first six months of 2024 compared to 2023. Total operating margin increased 420 basis points to 28.0% in the second quarter of 2024 and increased 390 basis points to 26.1% in the first six months of 2024 compared to 2023. Total operating income and total operating margin benefited from scalable revenue growth, along with a reduction in amortization of acquisition-related intangible assets.</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Operating income in our Merchant segment increased $137 million, or 18%, in the second quarter of 2024 and increased $314 million, or 23%, in the first six months of 2024 compared to 2023. Operating margin increased 290 basis points to 36.6% in the second quarter of 2024 and increased 360 basis points to 35.4% in the first six months of 2024 compared to 2023. Operating income and operating margin growth in our Merchant segment was primarily due to operating leverage and productivity.</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increased $65 million, or 6%, in the second quarter of 2024 and increased $130 million, or 7%, in the first six months of 2024 compared to 2023. Operating margin increased 10 basis points to 45.9% in the second quarter of 2024 and increased 90 basis points to 45.0% in the first six months of 2024 compared to 2023. Operating income and operating margin growth in our Financial segment was primarily due to operating leverage and scalable revenue growth.</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operating loss in Corporate and Other decreased $95 million in the second quarter of 2024 and decreased $100 million in the first six months of 2024 compared to 2023. The operating losses in the second quarter and first six months of 2024 were favorably impacted by a reduction of $60 million and $118 million in amortization of acquisition-related intangible assets, respectively, partially offset by a $12 million facility impairment in the first six months of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$53 million, or 23%, in the second quarter of 2024 compared to 2023 and increased $112 million, or 26%, in the first six months of 2024 compared to 2023 due to higher outstanding borrowings, including as a result of our public offering and issuance of $2.0 billion of senior notes in March 2024, as well as increased variable rate borrowings associated with our settlement advance cash program in Latin America compared to the prior year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expense, net decreased $21 million in the second quarter of 2024 and decreased $34 million in the first six months of 2024 compared to 2023. Other expense, net includes foreign currency transaction gains and losses, gains or losses from a sale or change in fair value of investments in certain equity securities, and amounts related to debt guarantee arrangements of certain joint ventures. Other expense, net in the second quarter and first six months of 2024 included $6 million and $27 million, respectively, related to gains on the sale and remeasurement of certain equity securities. Net foreign currency transaction losses decreased $10 million and $1 million in the second quarter and first six months of 2024 compared to the second quarter and first six months of 2023,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Income tax provision as a percentage of income before income taxes and income (loss) from investments in unconsolidated affiliates was 19.4% and 20.7% for the three months ended June 30, 2024 and 2023, respectively, and was 18.2% and 19.2% for the six months ended June 30, 2024 and 2023, respectively. The effective income tax rate for each of the six months ended June 30, 2024 and 2023 included discrete tax benefits from equity compensation.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Investments in Unconsolidated Affiliates</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share of net income (loss) from unconsolidated affiliates accounted for using the equity method is reported as income (loss) from investments in unconsolidated affiliates, and the related tax benefit is reported within the income tax provision in the consolidated statements of income. Income (loss) from investments in unconsolidated affiliates, including acquired intangible asset amortization from valuations in purchase accounting, was $(8) million and $3 million in the second quarter of 2024 and 2023, respectively, and $(16) million and $(9) million in the first six months of 2024 and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$15 million and $12 million in the second quarter of 2024 and 2023, respectively, and $32 million and $25 million in the first six months of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$1.53 and $1.10 in the second quarter of 2024 and 2023, respectively, and was $2.76 and $1.99 in the first six months of 2024 and 2023, respectively. In addition to the favorable impacts to net income attributable to Fiserv, Inc. described above, our diluted weighted average outstanding shares were reduced by 5% and 6% in the second quarter and first six months of 2024, respectively, compared to 2023, due to our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$1.1 billion (net of $4.9 billion of capacity designated for outstanding borrowings under our commercial paper programs, senior notes due within the next twelve months and letters of credit) at June 30,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sale of businesses and other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operating cash flow was $2.2 billion in the first six months of 2024, an increase of 8% compared with $2.0 billion in the first six months of 2023. This increase was primarily attributable to increased profitability and corresponding cash flows, partially offset by higher working capital use compared to the first six months of 2023, including increased accounts receivable corresponding to revenue growth.</w:t>
      </w:r>
    </w:p>
    <w:p>
      <w:pPr>
        <w:spacing w:after="0" w:line="12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maintain investments in various affiliates that are accounted for as equity method investments. Total distributions from unconsolidated affiliates, including those classified as cash flows from investing activities, were $58 million and $109 million in the first six months of 2024 and 2023, respectively.</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8% and 7% of our total revenue for the first six months of 2024 and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repurchased $3.0 billion and $2.5 billion of our common stock during the first six months of 2024 and 2023, respectively. On February 22, 2023, our board of directors approved a repurchase authorization for up to 75.0 million shares of our common stock. As of June 30, 2024, we had approximately 31.8 million shares remaining under our existing repurchase authorization. Shares repurchased are generally held for issuance in connection with our equity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acquired Skytef in October 2023 and Sled in November 2023 for an aggregate purchase price, including hold-backs, of $17 million. We funded these acquisitions by utilizing available cash. The results of operations for these acquired businesses are included in our consolidated results from the respective dates of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 of Businesses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sold our financial reconciliation business in July 2023 for cash proceeds of $235 million. Net proceeds from the sale were primarily used to pay down indebtedness and repurchase shares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September 2023, we acquired the remaining 49% ownership interest in European Merchant Services B.V., in which we previously held a majority controlling financial interest in this consolidated subsidiary, for $56 million. We funded this transaction by utilizing a combination of available cash and proceeds from the issuance of commercial paper.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Indebtedness</w:t>
            </w:r>
          </w:p>
        </w:tc>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1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At June 30, 2024, our debt consisted primarily of $22.0 billion of fixed-rate senior notes and $1.9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June 30, 2024, the 2.750% senior notes due in July 2024 and 3.850% senior notes due in June 2025 were classified in the consolidated balance sheet as long-term, as we have either subsequently refinanced or have the intent to refinance this debt on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Variable Rate Debt</w:t>
            </w:r>
          </w:p>
        </w:tc>
        <w:tc>
          <w:tcPr>
            <w:tcW w:w="3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June 30, 2024:</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5.560%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3.843%</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12.327%</w:t>
            </w: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settlement activity associated with operations in Latin America, including an annually renewable term loan facility to fund settlement advance cash payments in Brazil. This term loan has a notional value of 514 million Brazilian real ($93 million USD equivalent) at June 30,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our foreign lines of credit and other borrowing arrangements by country at June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40.363 %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11.612 %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2.825 %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31.623 %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maintain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our long-term debt rating. There were no outstanding borrowings under the revolving credit facility at June 30, 2024. We are required to pay a facility fee based on the aggregate commitments in effect under the credit agreement from time to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and Compliance</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2024,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$432 million in senior unsecured debt at</w:t>
      </w:r>
    </w:p>
    <w:p>
      <w:pPr>
        <w:ind w:right="20"/>
        <w:spacing w:after="0" w:line="251" w:lineRule="auto"/>
        <w:rPr>
          <w:sz w:val="20"/>
          <w:szCs w:val="20"/>
          <w:color w:val="auto"/>
        </w:rPr>
      </w:pPr>
      <w:r>
        <w:rPr>
          <w:rFonts w:ascii="Times New Roman" w:cs="Times New Roman" w:eastAsia="Times New Roman" w:hAnsi="Times New Roman"/>
          <w:sz w:val="18"/>
          <w:szCs w:val="18"/>
          <w:color w:val="auto"/>
        </w:rPr>
        <w:t>June 30, 2024 and variable-rate revolving credit facilities with an aggregate borrowing capacity of $83 million with a syndicate of banks, which mature in April 2027. There were $19 million of aggregate outstanding borrowings on the revolving credit facilities at June 30, 2024. We have guaranteed the debt of the Lending Joint Ventures. We maintained a liability of $26 million at June 30, 2024 for the estimated fair value of our non-contingent obligations to stand ready to perform over the term of the guarantee arrangements. Such guarantees will be amortized in future periods over the contractual term of the debt. In addition, we maintained a contingent liability of $19 million at June 30, 2024,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42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operations are exposed are the Argentine Peso, Brazilian Real, British Pound, Euro and Indian Rupee. Changes in the value of underlying monetary assets and liabilities of our non-U.S. dollar-denominated foreign investments and foreign currency transactions in highly inflationary economies, primarily Argentina, may result in foreign currency exchange losses. We also have exposure to risks related to currency devaluation in certain countries, including Argentina, which may negatively impact our international operating results if there is a prolonged devaluation of local currencies relative to the U.S. dollar or if the economic conditions in these countries decline.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2023. There were no significant changes to our quantitative and qualitative analyses about market risk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June 30, 2024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June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39,656,166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3,227,583</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36,428,583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4,652,660</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31,775,923</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9,960,243</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22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22, 2023, our board of directors authorized the purchase of up to 75.0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60" w:firstLine="8"/>
        <w:spacing w:after="0" w:line="282"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during the three months ended June 30, 2024, none of the Company’s directors or Section 16 officers adopted or terminated a Rule 10b5-1 Trading Plan or “non-Rule 10b5-1 trading arrangement,” as defined in Item 408(a) of Regulation 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21, 2024, Frank Bisignano, Chairman of the Board, President and Chief Executive Officer of the Company, adopted a trading arrangement for the sale of securities of the Company’s common stock (a “Rule 10b5-1 Trading Plan”) that is intended to satisfy the affirmative defense conditions of Exchange Act Rule 10b5-1(c). Mr. Bisignano’s Rule 10b5-1 Trading Plan provides for the sale of up to 145,000 shares of common stock pursuant to one or more limit orders until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40" w:type="dxa"/>
            <w:vAlign w:val="bottom"/>
            <w:gridSpan w:val="5"/>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18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1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spacing w:after="0"/>
              <w:rPr>
                <w:sz w:val="22"/>
                <w:szCs w:val="22"/>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Non-Employee Director Compensation Schedule**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3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1"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right="220" w:hanging="8"/>
        <w:spacing w:after="0" w:line="253" w:lineRule="auto"/>
        <w:tabs>
          <w:tab w:leader="none" w:pos="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six months ended June 30, 2024 and 2023, (ii) the Consolidated Statements of Comprehensive Income for the three and six months ended June 30, 2024 and 2023, (iii) the Consolidated Balance Sheets at June 30, 2024 and December 31, 2023, (iv) the Consolidated Statements of Cash Flows for the six months ended June 30, 2024 and 2023, (v) Notes to Consolidated Financial Statements, and (vi) the information included in Part II, Item 5(c).</w:t>
      </w:r>
    </w:p>
    <w:p>
      <w:pPr>
        <w:spacing w:after="0" w:line="1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This exhibit is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25, 2024</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25, 2024</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782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SCHEDULE</w:t>
            </w:r>
          </w:p>
        </w:tc>
        <w:tc>
          <w:tcPr>
            <w:tcW w:w="1100" w:type="dxa"/>
            <w:vAlign w:val="bottom"/>
          </w:tcPr>
          <w:p>
            <w:pPr>
              <w:spacing w:after="0"/>
              <w:rPr>
                <w:sz w:val="20"/>
                <w:szCs w:val="20"/>
                <w:color w:val="auto"/>
              </w:rPr>
            </w:pPr>
          </w:p>
        </w:tc>
      </w:tr>
      <w:tr>
        <w:trPr>
          <w:trHeight w:val="39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110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annual non-employee director compensation is provided below:</w:t>
            </w:r>
          </w:p>
        </w:tc>
        <w:tc>
          <w:tcPr>
            <w:tcW w:w="1100" w:type="dxa"/>
            <w:vAlign w:val="bottom"/>
          </w:tcPr>
          <w:p>
            <w:pPr>
              <w:spacing w:after="0"/>
              <w:rPr>
                <w:sz w:val="24"/>
                <w:szCs w:val="24"/>
                <w:color w:val="auto"/>
              </w:rPr>
            </w:pPr>
          </w:p>
        </w:tc>
      </w:tr>
      <w:tr>
        <w:trPr>
          <w:trHeight w:val="486"/>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Annual Equity Grant</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$ 230,000</w:t>
            </w:r>
          </w:p>
        </w:tc>
      </w:tr>
      <w:tr>
        <w:trPr>
          <w:trHeight w:val="270"/>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Board Fee</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70"/>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Lead Director Equity Grant</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$ 75,000</w:t>
            </w:r>
          </w:p>
        </w:tc>
      </w:tr>
      <w:tr>
        <w:trPr>
          <w:trHeight w:val="270"/>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Committee Fee</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$ 15,000</w:t>
            </w:r>
          </w:p>
        </w:tc>
      </w:tr>
      <w:tr>
        <w:trPr>
          <w:trHeight w:val="270"/>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Committee Chair Fee – Nominating and Corporate Governance; Risk; Talent and Compensation</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$ 20,000</w:t>
            </w:r>
          </w:p>
        </w:tc>
      </w:tr>
      <w:tr>
        <w:trPr>
          <w:trHeight w:val="270"/>
        </w:trPr>
        <w:tc>
          <w:tcPr>
            <w:tcW w:w="8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Committee Chair Fee – Audit</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$ 25,000</w:t>
            </w:r>
          </w:p>
        </w:tc>
      </w:tr>
    </w:tbl>
    <w:p>
      <w:pPr>
        <w:spacing w:after="0" w:line="200" w:lineRule="exact"/>
        <w:rPr>
          <w:sz w:val="20"/>
          <w:szCs w:val="20"/>
          <w:color w:val="auto"/>
        </w:rPr>
      </w:pPr>
    </w:p>
    <w:p>
      <w:pPr>
        <w:spacing w:after="0" w:line="3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Upon being elected or re-elected as: (i) a director, each non-employee director receives such number of restricted stock units as is determined by dividing $230,000 by the closing price of our common stock on the grant date; and (ii) Lead Director, the Lead Director receives such number of restricted stock units as is determined by dividing $75,000 by the closing price of our common stock on the grant date. The lead director equity grant is in addition to the standard board fee and annual equity grant, and the committee chair fees are in addition to the base committee fee.</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Restricted stock units vest 100% on the earlier of (i) the first anniversary of the grant date or (ii) immediately prior to the first annual meeting of shareholders following the grant date. Committee fees are payable with respect to each committee on which a director serves. All cash fees are payable quarterly in arrears.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Compensation Plan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 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Date: 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43180</wp:posOffset>
            </wp:positionV>
            <wp:extent cx="23399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June 30, 2024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2024</w:t>
            </w:r>
          </w:p>
        </w:tc>
      </w:tr>
      <w:tr>
        <w:trPr>
          <w:trHeight w:val="8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2024</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
      <w:numFmt w:val="bullet"/>
      <w:start w:val="1"/>
    </w:lvl>
    <w:lvl w:ilvl="1">
      <w:lvlJc w:val="left"/>
      <w:lvlText w:val="(%2)"/>
      <w:numFmt w:val="lowerRoman"/>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2024-07-25T06:14:35Z</dcterms:created>
  <dcterms:modified xsi:type="dcterms:W3CDTF">2024-07-25T06:14:35Z</dcterms:modified>
</cp:coreProperties>
</file>