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229" w:right="6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14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2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FISV31A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304165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329565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0940"/>
          </w:cols>
          <w:pgMar w:left="320" w:top="229"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73"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2026, there were 533,253,986 shares of common stock, $0.01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342900</wp:posOffset>
            </wp:positionV>
            <wp:extent cx="7089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368935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20" w:type="dxa"/>
            <w:vAlign w:val="bottom"/>
            <w:tcBorders>
              <w:top w:val="single" w:sz="8" w:color="0000FF"/>
            </w:tcBorders>
          </w:tcPr>
          <w:p>
            <w:pPr>
              <w:spacing w:after="0"/>
              <w:rPr>
                <w:sz w:val="24"/>
                <w:szCs w:val="24"/>
                <w:color w:val="auto"/>
              </w:rPr>
            </w:pPr>
          </w:p>
        </w:tc>
        <w:tc>
          <w:tcPr>
            <w:tcW w:w="76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10"/>
          </w:tcPr>
          <w:p>
            <w:pPr>
              <w:spacing w:after="0"/>
              <w:rPr>
                <w:sz w:val="18"/>
                <w:szCs w:val="18"/>
                <w:color w:val="auto"/>
              </w:rPr>
            </w:pPr>
          </w:p>
        </w:tc>
        <w:tc>
          <w:tcPr>
            <w:tcW w:w="502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53"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76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110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w:t>
            </w:r>
          </w:p>
        </w:tc>
      </w:tr>
      <w:tr>
        <w:trPr>
          <w:trHeight w:val="216"/>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r>
      <w:tr>
        <w:trPr>
          <w:trHeight w:val="207"/>
        </w:trPr>
        <w:tc>
          <w:tcPr>
            <w:tcW w:w="7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5,130</w:t>
            </w:r>
          </w:p>
        </w:tc>
      </w:tr>
      <w:tr>
        <w:trPr>
          <w:trHeight w:val="19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3"/>
        </w:trPr>
        <w:tc>
          <w:tcPr>
            <w:tcW w:w="7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gain on sale of assets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7"/>
        </w:trPr>
        <w:tc>
          <w:tcPr>
            <w:tcW w:w="7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7"/>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 and income (loss) from investments in unconsolidated affiliates</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(loss) from investments in unconsolidated affiliates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110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 per share: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10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1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70"/>
        </w:trPr>
        <w:tc>
          <w:tcPr>
            <w:tcW w:w="7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w:t>
            </w:r>
          </w:p>
        </w:tc>
      </w:tr>
    </w:tbl>
    <w:p>
      <w:pPr>
        <w:spacing w:after="0" w:line="202" w:lineRule="exact"/>
        <w:rPr>
          <w:sz w:val="20"/>
          <w:szCs w:val="20"/>
          <w:color w:val="auto"/>
        </w:rPr>
      </w:pPr>
    </w:p>
    <w:p>
      <w:pPr>
        <w:ind w:left="660" w:hanging="328"/>
        <w:spacing w:after="0" w:line="225"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$18 million and $36 million for the three months ended March 31, 2026 and 2025, respectively (see Note 6).</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214"/>
        </w:trPr>
        <w:tc>
          <w:tcPr>
            <w:tcW w:w="766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84"/>
        </w:trPr>
        <w:tc>
          <w:tcPr>
            <w:tcW w:w="76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cost of processing</w:t>
            </w: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services</w:t>
            </w:r>
          </w:p>
        </w:tc>
        <w:tc>
          <w:tcPr>
            <w:tcW w:w="1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net interest expense</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 impacts of foreign currency translation (see Note 7)</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64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24,654</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5,093</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5,068</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37,703</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costs,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80,548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80,133</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23,890</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27,758</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12"/>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54,324</w:t>
            </w:r>
          </w:p>
        </w:tc>
      </w:tr>
      <w:tr>
        <w:trPr>
          <w:trHeight w:val="19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17)</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23,260</w:t>
            </w:r>
          </w:p>
        </w:tc>
      </w:tr>
      <w:tr>
        <w:trPr>
          <w:trHeight w:val="21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27,055</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at cost, 251 million and 250 million shares,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(23,547)</w:t>
            </w:r>
          </w:p>
        </w:tc>
      </w:tr>
      <w:tr>
        <w:trPr>
          <w:trHeight w:val="207"/>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25,792</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25,809</w:t>
            </w:r>
          </w:p>
        </w:tc>
      </w:tr>
      <w:tr>
        <w:trPr>
          <w:trHeight w:val="235"/>
        </w:trPr>
        <w:tc>
          <w:tcPr>
            <w:tcW w:w="7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sale of assets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investments in unconsolidated affiliates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foreign currency exchange (gains) losses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Merchant cash advances, including Clover Capital program</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merchant cash advances, including Clover Capital program</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anticipation cash advances, net</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acquisition of businesses, net of cash acquired</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borrowings from commercial paper and short-term borrowings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2,993</w:t>
            </w: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months ended March 31, 2026 and 2025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Noncontrolling interests in entities of which the Company maintains a majority controlling financial interest represent the minority shareholders’ share of the net income or loss and equity in consolidated subsidiaries and are presented as a separate line item within the consolidated statements of income and as a component of equity in the consolidated balance sheets.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 Cash and cash equivalents that are restricted from use due to contractual or legal restrictions are included in other long-term assets in the consolidated balance sheets.</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18"/>
                <w:szCs w:val="18"/>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310"/>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20" w:type="dxa"/>
            <w:vAlign w:val="bottom"/>
          </w:tcPr>
          <w:p>
            <w:pPr>
              <w:spacing w:after="0"/>
              <w:rPr>
                <w:sz w:val="17"/>
                <w:szCs w:val="17"/>
                <w:color w:val="auto"/>
              </w:rPr>
            </w:pPr>
          </w:p>
        </w:tc>
        <w:tc>
          <w:tcPr>
            <w:tcW w:w="514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cash flows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$91 million and $84 million at March 31, 2026 and December 31, 2025,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postage and insurance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prepaid expenses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tax receivables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merchant cash advances, including Clover Capital program</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anticipation cash advances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23"/>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Prepaid expenses represent advance payments for goods and services to be consumed in the future.</w:t>
      </w:r>
    </w:p>
    <w:p>
      <w:pPr>
        <w:spacing w:after="0" w:line="5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receivables associated with transferable federal tax credits (see Note 14).</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offers merchants advance access to capital, primarily through its Clover Capital program. Under this program, merchants sell fixed amounts of their future credit card receivables to the Company in exchange for an up-front purchase price payment. Future credit card receivables purchased by the Company under its merchant cash advance programs, including Clover Capital, were $595 million and $598 million at March 31, 2026 and December 31, 2025, respectively. The Company maintained a reserve of $35 million and $34 million at March 31, 2026 and December 31, 2025, respectively, based on an estimate of uncollectible amounts. For the three months ended March 31, 2026, merchant cash advances, which are generally collected over a period of six to twelve months, are presented on a gross basis within investing activities in the consolidated statement of cash flows. For the three months ended March 31, 2025, merchant cash advances were presented on a net basis, along with settlement anticipation cash advances as described below, within investing activities in the consolidated statement of cash flows.</w:t>
      </w:r>
    </w:p>
    <w:p>
      <w:pPr>
        <w:spacing w:after="0" w:line="1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through its settlement anticipation program. Under this program, the Company provides merchants the opportunity to receive settlement cash payments in advance in exchange for their receivables from card issuers, including when cardholders have elected to pay over time in installments. These local currency denominated arrangements are primarily associated with the Company’s operations in Latin America, the most significant of which are denominated in Argentine Peso and Brazilian Real. Settlement anticipation cash advances, the majority of which are collected within 30 days, are presented on a net basis within investing activities in the consolidated statements of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Certain merchant settlement assets (included within settlement receivables) that relate to settlement obligations are held by partner banks. Although the Company does not have legal ownership of these assets, it has the right to use them to satisfy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related settlement obligations. The Company records settlement obligations for amounts payable to merchants and for outstanding payment instruments issued to payees that have not yet been presented for settlement.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amount of merchant collateral available to the Company was $568 million and $588 million at March 31, 2026 and December 31, 2025, respectively.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$34 million and $28 million for the three months ended March 31, 2026 and 2025, respectively.</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allowance includes estimated losses from anticipated chargebacks and fraud events that have been incurred on merchant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$51 million and $46 million at March 31, 2026 and December 31, 2025,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Property and equipment is reported at cost. Depreciation of property and equipment is computed primarily using the straight-line method over the shorter of the estimated useful life of the asset or the leasehold period, if applicable. During the three months ended March 31, 2026, the Company entered into sale leaseback arrangements for certain of its facilities for an aggregate net sales price of $201 million. The sale of these facilities in the first quarter of 2026 resulted in an aggregate gain of $83 million recorded within net gain on sale of assets in the consolidated statement of income. The leasebacks of these facilities are classified as operating leases and are recorded as right-of-use assets and lease liabilities in the consolidated balance sheet.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its annual impairment assessment as of October 1, 2025, the Company performed a quantitative test for each of its reporting units and determined that its goodwill was not impaired as the estimated fair values exceeded the respective carrying values for each of the Company’s reporting units. Subsequently, the Company determined that a triggering event occurred during the fourth quarter of 2025 due to a sustained decline in its stock price, and therefore performed an additional quantitative goodwill impairment test for all reporting units as of December 31, 2025. The Company determined that its goodwill was not impaired as of December 31, 2025 as the estimated fair values exceeded the respective carrying values for each of the Company’s reporting units. At December 31, 2025, fair values exceeded carrying values by less than 15% for eight of the Company’s reporting units with an aggregate goodwill balance of $18.5 billion.</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determined that there have been no material events or changes during the first quarter of 2026 that would impact the estimates and assumptions used in the goodwill impairment test as of December 31, 2025. However, it is reasonably possible that future developments related to changes in forecasted revenue growth rates or operating margins; the interest or currency exchange rate environments; a shift in strategic initiatives; a deterioration in financial performance within a particular reporting unit; sustained decreases in the Company’s stock price; or significant changes in the composition of, or assumptions used in, the quantitative test for certain of the Company’s reporting units (such as an increase in risk-adjusted discount rates) could have a material impact on one or more of the estimates and assumptions used to evaluate goodwill impairment in subsequent periods. There is no accumulated goodwill impairment for the Company through March 31,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of subsidiaries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including Argentina, resulted in foreign currency exchange gains (losses) of $21 million and $(18) million for the three months ended March 31, 2026 and 2025, respectively, which is included within other income (expense), net in the consolidated statements of income.</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as economic hedges with creditworthy institutions to limit exposure to changing interest rates and foreign currency rate fluctuations, and not to enter into such derivatives for speculative purposes. Additional information regarding the Company’s derivatives and hedging instruments is included in Note 7 to the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minority partner in one of the Company’s merchant alliance joint ventures previously maintained a redeemable noncontrolling 1% interest which was presented outside of equity and carried at its estimated redemption value. The minority partner was entitled to a contractually determined share of the entity’s income, and the joint venture agreement contained redemption features whereby the interest held by the minority partner was redeemable either (i) at the option of the holder or (ii) upon the occurrence of an event that was not solely within the Company’s control.</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of certain merchant contracts. The distribution of certain merchant contracts for the redemption of the minority partner’s membership interest was settled in the third quarter of 2025, resulting in a gain of $89 million recorded within net gain on sale of assets in the consolidated statement of income. There was no associated tax impact on this gain. The Company maintains an ongoing relationship with the former minority partner to provide processing and other support services following the termination of the joint venture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310"/>
        </w:trPr>
        <w:tc>
          <w:tcPr>
            <w:tcW w:w="20" w:type="dxa"/>
            <w:vAlign w:val="bottom"/>
            <w:tcBorders>
              <w:bottom w:val="single" w:sz="8" w:color="CCEEFF"/>
            </w:tcBorders>
          </w:tcPr>
          <w:p>
            <w:pPr>
              <w:spacing w:after="0"/>
              <w:rPr>
                <w:sz w:val="24"/>
                <w:szCs w:val="24"/>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17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2025, the Financial Accounting Standards Board (“FASB”) issued Accounting Standards Update (“ASU”) No. 2025-05,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(Topic 326): Measurement of Credit Losses for Accounts Receivable and Contract Assets </w:t>
      </w:r>
      <w:r>
        <w:rPr>
          <w:rFonts w:ascii="Times New Roman" w:cs="Times New Roman" w:eastAsia="Times New Roman" w:hAnsi="Times New Roman"/>
          <w:sz w:val="18"/>
          <w:szCs w:val="18"/>
          <w:color w:val="auto"/>
        </w:rPr>
        <w:t>(“ASU 2025-05”), which provides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estimating expected credit losses on current trade receivables and contract assets by assuming that current conditions persist over the life of these assets. For all entities, the provisions within ASU 2025-05 are effective for annual reporting periods beginning after December 15, 2025, and for interim reporting periods within those annual reporting periods. The provisions within ASU 2025-05 are required to be applied prospectively. The Company adopted ASU 2025-05 effective January 1, 2026, and the adoption did not have a material impact on the Company’s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2025, the FASB issued ASU No. 2025-09,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xml:space="preserve"> (“ASU 2025-09”), which is intended to more closely align hedge accounting with the economics of an entity’s risk management activities. ASU 2025-09 includes targeted improvements, primarily related to cash flow hedging, involving expanded eligibility for grouping individual forecasted transactions with similar risk exposure; the addition of an alternative model for the application of hedge accounting to cash flow hedges of interest payments on choose-your-rate debt instruments; the ability to designate a variable price component of a forecasted purchase or sale of a nonfinancial asset; and refines the guidance for net written options as hedging instruments and for a dual hedge strategy involving foreign currency denominated debt. For public entities, the provisions within ASU 2025-09 are effective for fiscal years beginning after December 15, 2026, and for interim reporting periods within those fiscal years. The provisions within ASU 2025-09 are required to be applied prospectively. The Company is currently assessing the impact the adoption of ASU 2025-09 may have on its consolidated financial statements and disclosures.</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In 2024, the FASB issued ASU No. 2024-03, </w:t>
      </w:r>
      <w:r>
        <w:rPr>
          <w:rFonts w:ascii="Times New Roman" w:cs="Times New Roman" w:eastAsia="Times New Roman" w:hAnsi="Times New Roman"/>
          <w:sz w:val="18"/>
          <w:szCs w:val="18"/>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which requires disaggregation of certain expense captions into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disclosures within the footnotes to the financial statements. Under ASU 2024-03, entities will be required to disaggregate information, in tabular format, about specific natural expense categories underlying certain income statement expense line items that are considered ‘relevant’, such as purchases of inventory, employee compensation, depreciation, and intangible asset amortization. Additionally, ASU 2024-03 requires the disclosure of selling expenses, along with how an entity defines such expenses. For public entities, the provisions within ASU 2024-03 (as further clarified through ASU No.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are effective for the first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beginning after December 15, 2026, and for interim reporting periods within annual reporting periods beginning after December 15, 2027. The provisions within ASU 2024-03 are required to be applied prospectively; however, such provisions may be applied retrospectively for all comparative periods following the effective date. The Company is currently assessing the impact the adoption of ASU 2024-03 will have on its consolidated financial statement disclosures.</w:t>
      </w:r>
    </w:p>
    <w:p>
      <w:pPr>
        <w:spacing w:after="0" w:line="13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2025, the FASB issued ASU No.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(“ASU 2025-06”), to modernize the accounting guidance for costs to develop software for internal use. ASU 2025-06 amends the existing standard that refers to various stages of a software development project to better align with current software development methods, such as agile programming. Under ASU 2025-06, cost capitalization begins when management has authorized and committed to funding the project, and it is probable the project will be completed and the software will be used to perform its intended function. For all entities, the provisions within ASU 2025-06 are effective for fiscal years beginning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after December 15, 2027, and for interim reporting periods within those fiscal years. The provisions within ASU 2025-06 can be applied either retrospectively through a cumulative-effect adjustment, prospectively to software costs incurred after the adoption date (on existing, in-process software projects or new projects), or on a modified prospective basis. The Company is currently assessing the impact the adoption of ASU 2025-06 will have on its consolidated financial statements and disclosures.</w:t>
      </w:r>
    </w:p>
    <w:p>
      <w:pPr>
        <w:spacing w:after="0" w:line="12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In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xml:space="preserve"> (“ASU 2025-10”), which amends Topic 832 to provide specific guidance on the recognition, measurement, presentation and disclosure of government grants received by business entities, including both monetary and certain non-monetary grants. For public entities, the provisions within ASU 2025-10 are effective for annual and interim periods beginning after December 15, 2028, with early adoption permitted. The provisions within ASU 2025-10 can be applied either on a modified prospective, modified retrospective, or on a retrospective approach through a cumulative-effect adjustment. The Company is currently assessing the impact the adoption of ASU 2025-10 will have on its consolidated financial statements and disclosures.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operations are comprised of the Merchant Solutions (“Merchant”) and the Financial Solutions (“Financial”) reportable segments (see Note 18). The table below presents the Company’s revenue disaggregated by business line and includes a reconciliation with its reportable segments. The Company serves its global client base by working among its geographic teams across various regions, including the U.S. and Canada; Europe, Middle East and Africa (“EMEA”); Latin America (“LATAM”); and Asia Pacific (“APAC”). The majority of the Company’s revenue is earned in the U.S., with revenue generated within its EMEA, LATAM and APAC regions comprising approximately 16% and 14% of total revenue for the three months ended March 31, 2026 and 2025,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9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31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Business Line</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Business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Enterprise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Merchant Solutions segment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Financial Solutions segment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3"/>
          </w:tcPr>
          <w:p>
            <w:pPr>
              <w:ind w:left="120"/>
              <w:spacing w:after="0" w:line="203" w:lineRule="exact"/>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60" w:right="100" w:hanging="328"/>
        <w:spacing w:after="0" w:line="242" w:lineRule="auto"/>
        <w:tabs>
          <w:tab w:leader="none" w:pos="648"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Total revenue includes $324 million and $331 million for the three months ended March 31, 2026 and 2025, respectively, which represent revenue recognized outside the scope of Accounting Standards Codification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Such revenue primarily consists of interest-related income earned on merchant and settlement anticipation cash advances, on short-term investments of subscriber funds and intermediary settlement cash balances, and lease income associated with </w:t>
      </w:r>
      <w:r>
        <w:rPr>
          <w:rFonts w:ascii="Times New Roman" w:cs="Times New Roman" w:eastAsia="Times New Roman" w:hAnsi="Times New Roman"/>
          <w:sz w:val="17"/>
          <w:szCs w:val="17"/>
          <w:color w:val="auto"/>
        </w:rPr>
        <w:t>point-of-sale (“POS”)</w:t>
      </w:r>
      <w:r>
        <w:rPr>
          <w:rFonts w:ascii="Times New Roman" w:cs="Times New Roman" w:eastAsia="Times New Roman" w:hAnsi="Times New Roman"/>
          <w:sz w:val="16"/>
          <w:szCs w:val="16"/>
          <w:color w:val="auto"/>
        </w:rPr>
        <w:t xml:space="preserve"> terminal equipment.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bl>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$322 million of revenue during the three months ended March 31, 2026 that was included in the contract liabilities balance at the beginning of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and services revenue expected to be recognized in the future related to performance obligations that were unsatisfied (or partially unsatisfied) at March 31,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bl>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 and Other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businesses are included in the consolidated results of the Company from the respective dates of acquisition. Pro forma information for these acquired businesses is not provided because they did not have a material effect, individually or in the aggregate, on the Company’s consolidated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StoneCastle</w:t>
      </w:r>
    </w:p>
    <w:p>
      <w:pPr>
        <w:spacing w:after="0" w:line="1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December 17, 2025, the Company acquired StoneCastle Cash Management, LLC, INDX Processing, LLC and StoneCastle Trust Co. (collectively, “StoneCastle”), a provider of deposit funding solutions, for $416 million, net of $4 million of acquired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cash. StoneCastle is included within the Financial segment and provides its network of depository institutions easy access to stable, cost efficient deposit funding.</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preliminary allocation of purchase price resulted in the recognition of identifiable intangible assets of approximately $165 million, primarily acquired software and technology with an estimated useful life of 7 years, approximately $247 million of goodwill and $8 million of other net assets, including acquired cash. The allocation of the purchase price is preliminary and is subject to further adjustment, pending additional refinement and final completion of valuations. Goodwill, which is expected to be deductible for tax purposes, is primarily attributed to the anticipated value created by enabling the Company to offer technology-enabled deposit funding solutions to both its financial institution customers and merchant acquiring enterprise clients.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CCV</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March 18, 2025, the Company acquired CCV Group B.V. (“CCV”), a Netherlands-based supplier of POS payment solutions, for $219 million, net of $34 million of acquired cash. CCV is included within the Merchant segment and expands the Company’s network of payment solutions.</w:t>
      </w:r>
    </w:p>
    <w:p>
      <w:pPr>
        <w:spacing w:after="0" w:line="10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During the first quarter of 2026, the Company identified and recorded measurement period adjustments to the preliminary CCV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 decrease to identifiable intangible assets of $15 million, an increase in goodwill of $14 million, and an increase in other net assets of $1 million. Such measurement period adjustments did not have a material impact on the Company’s consolidated statement of income. The allocation of the purchase price was finalized in the first quarter of 2026 and resulted in the recognition of identifiable intangible assets, including customer relationships, of $103 million with a useful life of 8 years, acquired software and technology of $2 million with a useful life of 1 year and an acquired trademark of $4 million with a useful life of 2 years;</w:t>
      </w:r>
    </w:p>
    <w:p>
      <w:pPr>
        <w:spacing w:after="0" w:line="3"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18"/>
          <w:szCs w:val="18"/>
          <w:color w:val="auto"/>
        </w:rPr>
        <w:t>$120 million of goodwill; and $24 million of other net assets, including acquired cash. Goodwill, which is not deductible for tax purposes, is primarily attributed to the anticipated value created by enabling the Company’s ability to accelerate the deployment of its Clover</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xml:space="preserve"> POS and business management platform, providing enhanced capabilities and innovation to an expansive combined merchant and partner base across Europe.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Payfare</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March 2, 2025, the Company acquired Payfare, Inc. (“Payfare”), a Canada-based provider of program management solutions powering instant access to earnings and banking solutions for workforces, for a purchase price of $95 million, net of $46 million of acquired cash. Payfare is included within the Financial segment and expands the Company’s embedded finance capabilities.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was finalized in the fourth quarter of 2025 and resulted in the recognition of identifiable intangible assets, including acquired software and technology of $22 million with a useful life of 7 years and customer relationships of $14 million with a useful life of 14 years; $56 million of goodwill; and $49 million of other net assets, including acquired cash. Goodwill, which is not deductible for tax purposes, is primarily attributed to the anticipated value created by further enhancing the Company’s finance solutions in embedded banking, payments and lending for large enterprises and financial institutions.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October 1, 2025, the Company acquired a portion of The Toronto-Dominion Bank’s merchant processing business in Canada (“TD Merchant Canada”). TD Merchant Canada is included within the Merchant segment and expands the footprint of the Company’s Clover platform. On September 25, 2025, the Company acquired the Smith Consulting Group, LLC business (“SCG”), an operational consulting service utilized by community banks and credit unions across the U.S. SCG is included within the Financial segment and supports the Company’s ability to provide consultative engagement to enhance community banks’ and credit unions’ strategic investments. On September 4, 2025, the Company acquired CardFree Inc. (“CardFree”), an all-in-one platform delivering integrated order, payment and loyalty solutions for merchants. CardFree is included within the Merchant segment and further expands the capabilities of the Company’s Clover platform across the hospitality, restaurant and lodging industries. On June 4, 2025, the Company acquired Money Money Serviços Financeiros S.A. (“Money Money”), a Brazil-based provider of risk analysis and credit decisioning solutions. Money Money is included within the Merchant segment and expands the Company’s payment and financial service capabilities, enabling access to working capital and other payment solutions for small and medium-sized businesses. On April 4, 2025, the Company acquired Pinch Payments NZ Limited (together with Zootive Pty Ltd, “Pinch Payments”), an Australia-based payment facilitator. Pinch Payments is included within the Merchant segment and expands the Company’s flexible payment services for its partners and clients, and presence within the Asia-Pacific region.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acquired these businesses for an aggregate purchase price, including deferred payments, of $127 million, including earn-out provisions estimated at a fair value of $35 million (see Note 8). The allocation of purchase price for these acquisitions resulted in the recognition of identifiable intangible assets, including software and technology of $31 million with a weighted average useful life of 7 years and customer relationships of $18 million with a weighted average useful life of 6 years; $73 million of goodwill; and $5 million of other net assets. The purchase price allocations for Money Money and Pinch Payments were finalized in the third quarter of 2025, for SCG in the fourth quarter of 2025, and for CardFree and TD Merchant Canada in the first quarter of 2026. Measurement period adjustments in the first quarter of 2026 did not have a material impact on the Company’s consolidated statement of income. Goodwill for these acquisitions is primarily attributed to the anticipated value created by expanding the reach of the Company’s Clover POS and business management platform and further enabling the Company’s payment solutions, financial service capabilities and advisory services for financial institutions. For tax purposes, goodwill related to the SCG and TD Merchant Canada acquisitions is deductible; however, goodwill related to the Money Money, Pinch Payments and CardFree acquisitions is not deductible.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September 5, 2025, the Company acquired the remaining 49.9% ownership interest, including cash held of $195 million, in AIB Merchant Services (“AIBMS”), an Ireland-based payments solution provider, for $420 million. On April 17, 2025, the Company acquired the remaining 19% ownership interest in ICICI Merchant Services Private Limited, an India-based merchant acceptance business, for $22 million. The Company previously held a majority controlling financial interest in each of these subsidiaries, which continue to be consolidated and reported within the Merchant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7"/>
                <w:szCs w:val="17"/>
                <w:color w:val="auto"/>
              </w:rPr>
            </w:pPr>
          </w:p>
        </w:tc>
        <w:tc>
          <w:tcPr>
            <w:tcW w:w="15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$573 million and $559 million for the three months ended March 31,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decline in value, including any significant changes in business relationships with merchant alliances. A decline in value of an equity method investment determined to be other-than-temporary is recorded as a current-period impairment charge within income (loss) from investments in unconsolidated affiliates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maintains ownership interests in certain merchant alliances, which combine the processing capabilities and management expertise of the Company with the visibility and distribution channel of a financial institution. A merchant alliance acquires credit and debit card transactions from merchants. The formation of these alliances generally involves the Company and the financial institution contributing contracts with merchants to the alliance and a cash payment from one owner of the alliance to the other to achieve the desired ownership percentage for each. The Company and the financial institution enter into a long-term processing service agreement, which governs the Company’s provision of transaction processing services to the alliance. Fees charged to merchant alliances, based on contractual pricing, are recognized in the Company’s consolidated statements of income primarily as processing and services revenue, and totaled $18 million and $32 million for the three months ended March 31, 2026 and 2025, respectively. The Company’s investment in its merchant alliances was $723 million and $736 million at March 31, 2026 and December 31, 2025, respectively, and is reported within investments in unconsolidated affiliates in the consolidated balance sheets.</w:t>
      </w:r>
    </w:p>
    <w:p>
      <w:pPr>
        <w:spacing w:after="0" w:line="1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maintained a 40% ownership interest in the Wells Fargo Merchant Services merchant alliance (“WFMS”), which was accounted for as an equity method investment. The Company acquired its ownership, at fair value, in WFMS through its 2019 acquisition of First Data Corporation. In 2024, Wells Fargo Bank, National Association (“Wells Fargo”) provided the Company with a notice of non-renewal for WFMS and upon the expiration of the joint venture in April 2025, the Company received a cash payment of $453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Method Investments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and defi SOLUTIONS Group, LLC (collectively the “Lending Joint Ventures”), which are accounted for under the equity method. The Company’s net investment in the Lending Joint Ventures was $83 million and $88 million at March 31, 2026 and December 31, 2025, respectively, and is reported within investments in unconsolidated affiliates in the consolidated balance sheets. The Company has guaranteed the debt of the Lending Joint Ventures and does not anticipate that the Lending Joint Ventures will fail to fulfill their debt obligations (see Note 8). In addition, the Company maintains other strategic investments accounted for under the equity method. The Company’s aggregate investments in such entities was $212 million and $208 million at March 31, 2026 and December 31, 2025, respectively, and is reported within investments in unconsolidated affiliates in the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also maintains investments, over which it does not have significant influence, in various equity securities without a readily determinable fair value. Such investments totaled $114 million and $126 million at March 31, 2026 and December 31, 2025,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income (expense), net in the consolidated statements of income for the period. Adjustments made for observable price changes to the values recorded for certain equity securities and net gains or losses from sales of equity securities were not significant during each of the three months ended March 31, 2026 and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Instruments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fixed-to-floating interest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$381 million and $323 million at March 31, 2026 and December 31, 2025, respectively. Based on the amounts recorded in accumulated other comprehensive loss at March 31, 2026, the Company estimates that it will recognize losses of approximately $19 million in cost of processing and services during the next 12 months as foreign exchange forward contracts settle.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 interest payments. The unamortized balance recorded in accumulated other comprehensive loss related to the Treasury Locks was</w:t>
      </w:r>
    </w:p>
    <w:p>
      <w:pPr>
        <w:spacing w:after="0" w:line="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$85 million and $88 million at March 31, 2026 and December 31, 2025, respectively. Based on the amounts recorded in accumulated other comprehensive loss at March 31, 2026, the Company estimates that it will recognize approximately $12 million in net interest expense during the next 12 months related to settled interest rate hedge contracts.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310"/>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 Dollars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4"/>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 Dollars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Euro-and British Pound-denominated senior notes and Euro commercial paper notes as net investment hedges to hedge a portion of its net investment in certain subsidiaries whose functional currencies are the Euro and the British Pound.</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currency-denominated subsidiaries.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1"/>
        </w:trPr>
        <w:tc>
          <w:tcPr>
            <w:tcW w:w="2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2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$(26) million and $40 million during the three months ended March 31, 2026 and 2025, respectively, in other comprehensive income (loss) from the translation of foreign currency-denominated senior notes, Euro commercial paper notes and fixed-to-fixed cross-currency rate swap contracts.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maintains fixed-to-floating interest rate swap contracts in the aggregate notional amount of $775 million, designated as fair value hedges, to economically change a portion of its fixed rate senior notes to variable rate debt. Net changes in the fair value of the fixed-to-floating rate swaps ($1 million loss for the three months ended March 31, 2026), along with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offsetting change in the fair value of the hedged senior notes, attributable to changes in the designated benchmark interest rate, were recognized in interest expense, net within the consolidated statement of income.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notional amounts of the hedged fixed rate senior notes were as follows:</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4"/>
                <w:szCs w:val="2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Hedged Notes</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5.250% senior notes due August 2035</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March 31, 2026, the Company entered into additional fixed-to-floating interest rate swap contracts in the aggregate notional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$725 million, which were designated as fair value hedges, to economically change an additional portion of its fixed rate senior notes to variable rate debt.</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previously maintained a fixed-to-fixed cross-currency rate swap contract in the notional amount of 525 million British Pounds, designated as a fair value hedge, to mitigate the spot foreign exchange rate risk on the principal amount of its British Pound-denominated 2.250% senior notes, which matured in July 2025. Net changes in the fair value of the cross-currency rate swaps ($20 million gain for the three months ended March 31, 2025), along with the offsetting change in the fair value of the hedged notes, attributable to fluctuations in the respective foreign currency spot rates were recognized in other income (expense), net within the consolidated statement of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benchmark interest rates, foreign currency spot rates and forwards quoted by banks and foreign currency dealers and are marked to market each period. Contingent consideration related to certain of the Company’s acquisitions (see Note 4) is estimated using a probability-weighted assessment approach based on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(In millions)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3" w:lineRule="exact"/>
        <w:rPr>
          <w:sz w:val="20"/>
          <w:szCs w:val="20"/>
          <w:color w:val="auto"/>
        </w:rPr>
      </w:pPr>
    </w:p>
    <w:p>
      <w:pPr>
        <w:ind w:left="220" w:right="340" w:hanging="80"/>
        <w:spacing w:after="0" w:line="234"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10" w:lineRule="exact"/>
        <w:rPr>
          <w:sz w:val="20"/>
          <w:szCs w:val="20"/>
          <w:color w:val="auto"/>
        </w:rPr>
      </w:pPr>
    </w:p>
    <w:p>
      <w:pPr>
        <w:ind w:left="220" w:right="160" w:hanging="80"/>
        <w:spacing w:after="0" w:line="237" w:lineRule="auto"/>
        <w:rPr>
          <w:sz w:val="20"/>
          <w:szCs w:val="20"/>
          <w:color w:val="auto"/>
        </w:rPr>
      </w:pPr>
      <w:r>
        <w:rPr>
          <w:rFonts w:ascii="Times New Roman" w:cs="Times New Roman" w:eastAsia="Times New Roman" w:hAnsi="Times New Roman"/>
          <w:sz w:val="18"/>
          <w:szCs w:val="18"/>
          <w:color w:val="auto"/>
        </w:rPr>
        <w:t>Fixed-to-floating interest rate swap contract designated as fair value hedge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220" w:right="340" w:hanging="80"/>
        <w:spacing w:after="0" w:line="234"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10" w:lineRule="exact"/>
        <w:rPr>
          <w:sz w:val="20"/>
          <w:szCs w:val="20"/>
          <w:color w:val="auto"/>
        </w:rPr>
      </w:pPr>
    </w:p>
    <w:p>
      <w:pPr>
        <w:ind w:left="220" w:hanging="80"/>
        <w:spacing w:after="0" w:line="237" w:lineRule="auto"/>
        <w:rPr>
          <w:sz w:val="20"/>
          <w:szCs w:val="20"/>
          <w:color w:val="auto"/>
        </w:rPr>
      </w:pPr>
      <w:r>
        <w:rPr>
          <w:rFonts w:ascii="Times New Roman" w:cs="Times New Roman" w:eastAsia="Times New Roman" w:hAnsi="Times New Roman"/>
          <w:sz w:val="18"/>
          <w:szCs w:val="18"/>
          <w:color w:val="auto"/>
        </w:rPr>
        <w:t>Forward exchange contracts designated as cash flow hedges</w:t>
      </w:r>
    </w:p>
    <w:p>
      <w:pPr>
        <w:spacing w:after="0" w:line="10" w:lineRule="exact"/>
        <w:rPr>
          <w:sz w:val="20"/>
          <w:szCs w:val="20"/>
          <w:color w:val="auto"/>
        </w:rPr>
      </w:pPr>
    </w:p>
    <w:p>
      <w:pPr>
        <w:ind w:left="220" w:hanging="80"/>
        <w:spacing w:after="0" w:line="237" w:lineRule="auto"/>
        <w:rPr>
          <w:sz w:val="20"/>
          <w:szCs w:val="20"/>
          <w:color w:val="auto"/>
        </w:rPr>
      </w:pPr>
      <w:r>
        <w:rPr>
          <w:rFonts w:ascii="Times New Roman" w:cs="Times New Roman" w:eastAsia="Times New Roman" w:hAnsi="Times New Roman"/>
          <w:sz w:val="18"/>
          <w:szCs w:val="18"/>
          <w:color w:val="auto"/>
        </w:rPr>
        <w:t>Forward exchange contracts designated as cash flow hedges</w:t>
      </w:r>
    </w:p>
    <w:p>
      <w:pPr>
        <w:spacing w:after="0" w:line="10" w:lineRule="exact"/>
        <w:rPr>
          <w:sz w:val="20"/>
          <w:szCs w:val="20"/>
          <w:color w:val="auto"/>
        </w:rPr>
      </w:pPr>
    </w:p>
    <w:p>
      <w:pPr>
        <w:ind w:left="220" w:right="340" w:hanging="80"/>
        <w:spacing w:after="0" w:line="237" w:lineRule="auto"/>
        <w:rPr>
          <w:sz w:val="20"/>
          <w:szCs w:val="20"/>
          <w:color w:val="auto"/>
        </w:rPr>
      </w:pPr>
      <w:r>
        <w:rPr>
          <w:rFonts w:ascii="Times New Roman" w:cs="Times New Roman" w:eastAsia="Times New Roman" w:hAnsi="Times New Roman"/>
          <w:sz w:val="18"/>
          <w:szCs w:val="18"/>
          <w:color w:val="auto"/>
        </w:rPr>
        <w:t>Cross-currency rate swap contracts designated as net investment hedges</w:t>
      </w:r>
    </w:p>
    <w:p>
      <w:pPr>
        <w:spacing w:after="0" w:line="10" w:lineRule="exact"/>
        <w:rPr>
          <w:sz w:val="20"/>
          <w:szCs w:val="20"/>
          <w:color w:val="auto"/>
        </w:rPr>
      </w:pPr>
    </w:p>
    <w:p>
      <w:pPr>
        <w:ind w:left="220" w:right="20" w:hanging="80"/>
        <w:spacing w:after="0" w:line="237" w:lineRule="auto"/>
        <w:rPr>
          <w:sz w:val="20"/>
          <w:szCs w:val="20"/>
          <w:color w:val="auto"/>
        </w:rPr>
      </w:pPr>
      <w:r>
        <w:rPr>
          <w:rFonts w:ascii="Times New Roman" w:cs="Times New Roman" w:eastAsia="Times New Roman" w:hAnsi="Times New Roman"/>
          <w:sz w:val="18"/>
          <w:szCs w:val="18"/>
          <w:color w:val="auto"/>
        </w:rPr>
        <w:t>Fixed-to-floating interest rate swap contracts designated as fair value hedges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Contingent debt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8"/>
          <w:szCs w:val="18"/>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19685</wp:posOffset>
            </wp:positionV>
            <wp:extent cx="711517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77470</wp:posOffset>
            </wp:positionV>
            <wp:extent cx="7115175" cy="36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36893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274320</wp:posOffset>
            </wp:positionV>
            <wp:extent cx="7115175"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84455</wp:posOffset>
            </wp:positionV>
            <wp:extent cx="7115175"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77470</wp:posOffset>
            </wp:positionV>
            <wp:extent cx="7115175"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24765</wp:posOffset>
            </wp:positionV>
            <wp:extent cx="711517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2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4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5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5"/>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3"/>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180" w:space="80"/>
            <w:col w:w="3260" w:space="380"/>
            <w:col w:w="4320"/>
          </w:cols>
          <w:pgMar w:left="320" w:top="121" w:right="3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A portion of the Company’s senior notes are designated under a fair value hedging relationship (see Note 7), and therefore changes in fair value attributable to changes in the designated benchmark interest rate are included in the carrying value of the hedged senior notes within the consolidated balance sheet.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$26.0 billion and $26.4 billion at March 31, 2026 and December 31, 2025, respectively, and the carrying value was $26.9 billion at both March 31, 2026 and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Lending Joint Ventures (see Note 6) maintain variable-rate term loan facilities with aggregate outstanding borrowings of $393 million in senior unsecured debt at March 31, 2026 and variable-rate revolving credit facilities with an aggregate borrowing capacity of $83 million with a syndicate of banks, which mature in April 2027. There were $44 million of aggregate outstanding borrowings on the revolving credit facilities at March 31, 2026. The Company has guaranteed the debt of the Lending Joint Ventures.</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which are reported within other long-term liabilities in the consolidated balance sheets. The Company has provided aggregate guarantees of $476 million associated with the debt of the Lending Joint Ventures and is entitled to receive a defined fee in exchange for its guarantee of this indebtedness. The Company has not made any payments under the guarantees, nor has it been called upon to do so, and does not anticipate that the Lending Joint Ventures will fail to fulfill their debt obligations.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$9 million and $12 million approximates the fair value at March 31, 2026 and December 31, 2025,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$4 million and $5 million during the three months ended March 31, 2026 and 2025, respectively, within other income (expense), net in its consolidated statements of income related to its release from risk under the non-contingent guarantees as well as a change in the provision of estimated credit losses associated with the indebtedness of the Lending Joint Ventures.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Other Current Liabilities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 the following:</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
        </w:trPr>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9"/>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Transferable federal tax credits (see Note 14)</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9"/>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6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60" w:type="dxa"/>
            <w:vAlign w:val="bottom"/>
            <w:tcBorders>
              <w:right w:val="single" w:sz="8" w:color="CCEEFF"/>
            </w:tcBorders>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60" w:type="dxa"/>
            <w:vAlign w:val="bottom"/>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48"/>
        </w:trPr>
        <w:tc>
          <w:tcPr>
            <w:tcW w:w="60" w:type="dxa"/>
            <w:vAlign w:val="bottom"/>
            <w:tcBorders>
              <w:right w:val="single" w:sz="8" w:color="CCEEFF"/>
            </w:tcBorders>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r>
      <w:tr>
        <w:trPr>
          <w:trHeight w:val="20"/>
        </w:trPr>
        <w:tc>
          <w:tcPr>
            <w:tcW w:w="6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 at:</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2.875% senior notes due June 2028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4.550% senior notes due February 2031</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June 2032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5.250% senior notes due August 2035</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 senior notes due June 2036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hedge accounting adjustments (see Note 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three months ended March 31,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11, 2025, the Company completed the public offering and issuance of $2.0 billion of senior notes, comprised of $1.0 billion aggregate principal amount of 4.550% senior notes due in February 2031 and $1.0 billion aggregate principal amount of 5.250% senior notes due in August 2035. Interest on these senior notes is paid semi-annually. The Company used the net proceeds from this senior notes offering for general corporate purposes, including the repayment of a portion of the Company’s commercial paper notes and for share repurchases.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7, 2025, Fiserv Funding Unlimited Company, an indirect wholly owned subsidiary of the Company, completed the public offering and issuance of €2.175 billion of senior notes, comprised of €750 million aggregate principal amount of 2.875% senior notes due in June 2028, €775 million aggregate principal amount of 3.500% senior notes due in June 2032 and €650 million aggregate principal amount of 4.000% senior notes due in June 2036. These notes are fully and unconditionally guaranteed on a senior unsecured basis by the Company. Interest on these senior notes is paid annually. The Company used the net proceeds from this senior notes offering for general corporate purposes, including the repayment of a portion of the Company’s commercial paper notes, 3.850% senior notes due in June 2025 and 2.250% senior notes due in July 2025.</w:t>
      </w:r>
    </w:p>
    <w:p>
      <w:pPr>
        <w:spacing w:after="0" w:line="1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March 31, 2026, the 3.200% senior notes due July 2026 and 5.150% senior notes due March 2027 were classified in the consolidated balance sheet as long-term, as the Company has the intent to refinance this debt on a long-term basis, and the ability to do so under its revolving credit facility.</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 Interest on the Company’s U.S. dollar-denominated senior notes is paid semi-annually, while interest on its Euro- and British Pound- denominated senior notes is paid annually. The interest rate applicable to certain of the senior notes is subject to an increase of up to two percent in the event that the credit rating assigned to such notes is downgraded below investment grade.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$560 million and $326 million at March 31, 2026 and December 31, 2025, with weighted average interest rates of 4.009% and 3.851%, respectively. Outstanding borrowings under the Euro program were $682 million and $839 million at March 31, 2026 and December 31, 2025, with weighted average interest rates of 2.330% and 2.210%,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maintains a senior unsecured multicurrency revolving credit facility, which matures in August 2030 and provides for a maximum aggregate principal amount of availability of $8.0 billion. Borrowings under the credit facility bear interest at a variable base rate, determined by the term and currency of the borrowing, plus a specified margin based on the Company’s long-term debt rating. Outstanding borrowings under the revolving credit facility were $221 million and $188 million at March 31, 2026 and December 31, 2025, with corresponding interest rates of 4.655% and 4.685%, respectively.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maintains various short-term lines of credit and other borrowing arrangements with foreign banks and alliance partners primarily to fund merchant settlement advances associated with operations in Latin America through the Company’s settlement anticipation program (see Note 1). The following table provides a summary of the outstanding borrowings and weighted average interest rates of the Company’s foreign lines of credit and other borrowing arrangements by country: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430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100" w:type="dxa"/>
            <w:vAlign w:val="bottom"/>
          </w:tcPr>
          <w:p>
            <w:pPr>
              <w:spacing w:after="0"/>
              <w:rPr>
                <w:sz w:val="20"/>
                <w:szCs w:val="20"/>
                <w:color w:val="auto"/>
              </w:rPr>
            </w:pPr>
          </w:p>
        </w:tc>
        <w:tc>
          <w:tcPr>
            <w:tcW w:w="46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r>
      <w:tr>
        <w:trPr>
          <w:trHeight w:val="223"/>
        </w:trPr>
        <w:tc>
          <w:tcPr>
            <w:tcW w:w="2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c>
          <w:tcPr>
            <w:tcW w:w="23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35.787 %</w:t>
            </w:r>
          </w:p>
        </w:tc>
        <w:tc>
          <w:tcPr>
            <w:tcW w:w="8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51.559 %</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15.294 %</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15.482 %</w:t>
            </w: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 and Other</w:t>
            </w:r>
          </w:p>
        </w:tc>
        <w:tc>
          <w:tcPr>
            <w:tcW w:w="1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6.242 %</w:t>
            </w: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7.964 %</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17.741 %</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27.727 %</w:t>
            </w:r>
          </w:p>
        </w:tc>
      </w:tr>
      <w:tr>
        <w:trPr>
          <w:trHeight w:val="21"/>
        </w:trPr>
        <w:tc>
          <w:tcPr>
            <w:tcW w:w="2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months ended March 31, 2026 and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284"/>
              <w:spacing w:after="0"/>
              <w:rPr>
                <w:sz w:val="20"/>
                <w:szCs w:val="20"/>
                <w:color w:val="auto"/>
              </w:rPr>
            </w:pPr>
            <w:r>
              <w:rPr>
                <w:rFonts w:ascii="Times New Roman" w:cs="Times New Roman" w:eastAsia="Times New Roman" w:hAnsi="Times New Roman"/>
                <w:sz w:val="18"/>
                <w:szCs w:val="18"/>
                <w:b w:val="1"/>
                <w:bCs w:val="1"/>
                <w:color w:val="auto"/>
              </w:rPr>
              <w:t>Fiserv, Inc. Shareholders’ Equity</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6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64"/>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3"/>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7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1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4"/>
                <w:szCs w:val="14"/>
                <w:color w:val="auto"/>
              </w:rPr>
            </w:pPr>
          </w:p>
        </w:tc>
        <w:tc>
          <w:tcPr>
            <w:tcW w:w="7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stock plans</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8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284"/>
              <w:spacing w:after="0"/>
              <w:rPr>
                <w:sz w:val="20"/>
                <w:szCs w:val="20"/>
                <w:color w:val="auto"/>
              </w:rPr>
            </w:pPr>
            <w:r>
              <w:rPr>
                <w:rFonts w:ascii="Times New Roman" w:cs="Times New Roman" w:eastAsia="Times New Roman" w:hAnsi="Times New Roman"/>
                <w:sz w:val="18"/>
                <w:szCs w:val="18"/>
                <w:b w:val="1"/>
                <w:bCs w:val="1"/>
                <w:color w:val="auto"/>
              </w:rPr>
              <w:t>Fiserv, Inc. Shareholders’ Equity</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7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64"/>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3"/>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7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1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4"/>
                <w:szCs w:val="14"/>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4"/>
                <w:szCs w:val="14"/>
                <w:color w:val="auto"/>
              </w:rPr>
            </w:pPr>
          </w:p>
        </w:tc>
        <w:tc>
          <w:tcPr>
            <w:tcW w:w="7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11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stock plans</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Capital contribution from</w:t>
            </w:r>
          </w:p>
        </w:tc>
        <w:tc>
          <w:tcPr>
            <w:tcW w:w="8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2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8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shd w:val="clear" w:color="auto" w:fill="CCEEFF"/>
          </w:tcPr>
          <w:p>
            <w:pPr>
              <w:spacing w:after="0"/>
              <w:rPr>
                <w:sz w:val="7"/>
                <w:szCs w:val="7"/>
                <w:color w:val="auto"/>
              </w:rPr>
            </w:pPr>
          </w:p>
        </w:tc>
        <w:tc>
          <w:tcPr>
            <w:tcW w:w="2260" w:type="dxa"/>
            <w:vAlign w:val="bottom"/>
            <w:gridSpan w:val="2"/>
            <w:vMerge w:val="continue"/>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8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784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2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52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4380" w:type="dxa"/>
            <w:vAlign w:val="bottom"/>
            <w:tcBorders>
              <w:bottom w:val="single" w:sz="8" w:color="CCEEFF"/>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3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4380" w:type="dxa"/>
            <w:vAlign w:val="bottom"/>
            <w:gridSpan w:val="2"/>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14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4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recognized $118 million and $124 million of share-based compensation expense during the three months ended March 31, 2026 and 2025, respectively. The Company’s share-based compensation awards are typically granted in the first quarter of the year; however, grants may also occur throughout the year. Time-based restricted stock units generally vest over a three-year period. In December 2025, the Company granted retention restricted stock units to certain employees, which fully vest after an 18-month period. At March 31, 2026, the total remaining unrecognized compensation cost for restricted stock units and performance share units, net of estimated forfeitures, of $674 million is expected to be recognized over a weighted-average period of 2.0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and performance share unit activity during the three months ended March 31, 2026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34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4"/>
                <w:szCs w:val="14"/>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5"/>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 December 31,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 March 31,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three months ended March 31, 2026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5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60" w:type="dxa"/>
            <w:vAlign w:val="bottom"/>
            <w:gridSpan w:val="4"/>
            <w:vMerge w:val="continue"/>
          </w:tcPr>
          <w:p>
            <w:pPr>
              <w:spacing w:after="0"/>
              <w:rPr>
                <w:sz w:val="16"/>
                <w:szCs w:val="16"/>
                <w:color w:val="auto"/>
              </w:rPr>
            </w:pPr>
          </w:p>
        </w:tc>
        <w:tc>
          <w:tcPr>
            <w:tcW w:w="150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Value (In millions)</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 December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 outstanding - March 31, 2026</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exercisable - March 31,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660" w:type="dxa"/>
            <w:vAlign w:val="bottom"/>
            <w:gridSpan w:val="3"/>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61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tax provision (benefit):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income (loss) from investments in unconsolidated affiliates was 4.0% and 18.2% for the three months ended March 31, 2026 and 2025, respectively. The effective income tax rate for the three months ended March 31, 2026 included the impact of a $293 million benefit related to the release of a valuation allowance against certain foreign net operating loss carryforwards that were determined to be realizable during the first quarter of 2026. The Company monitors the realizability of deferred tax assets, taking into account all relevant factors, at each reporting period. This release was driven by a reevaluation of cumulative and future projected taxable income as a result of cross-border funding activities. This benefit was partially offset by a $39 million increase in U.S. federal unrecognized tax benefits for tax positions taken in prior years, $35 million in discrete tax expense from share-based awards and a $39 million increase in various other foreign valuation allowances. The net impact of these items in the first quarter of 2026 resulted in a lower effective income tax rate compared to the statutory income tax rate. The effective income tax rate for the three months ended March 31, 2025 included discrete tax benefits from share-based awards, resulting in a lower effective income tax rate compared to the statutory income tax rate.</w:t>
      </w:r>
    </w:p>
    <w:p>
      <w:pPr>
        <w:spacing w:after="0" w:line="14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Pursuant to provisions under the Inflation Reduction Act, the Company has purchased transferable federal tax credits from various counterparties. Such federal tax credits were purchased at negotiated discounts, resulting in an income tax benefit recorded during the three months ended March 31, 2025.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$138 million and $97 million at March 31, 2026 and December 31, 2025, respectively. The Company believes it is reasonably possible that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liability for unrecognized tax benefits may decrease by up to $3 million over the next 12 months as a result of possible closure of tax audits, audit settlements, and the lapse of the statutes of limitations in various jurisdictions.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U.S. federal income tax returns for 2020 and 2025, and tax returns in certain states and foreign jurisdictions for 2017 through 2025, remain subject to examination by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3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2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 Inc.</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 share - basic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8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 Inc.</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 share - diluted</w:t>
            </w: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restricted stock units for 5.3 million and 688 thousand shares, respectively, were excluded from the calculation of weighted-average outstanding shares - diluted because their impact was anti-dilutive.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80" w:type="dxa"/>
            <w:vAlign w:val="bottom"/>
            <w:tcBorders>
              <w:bottom w:val="single" w:sz="8" w:color="auto"/>
            </w:tcBorders>
          </w:tcPr>
          <w:p>
            <w:pPr>
              <w:spacing w:after="0"/>
              <w:rPr>
                <w:sz w:val="20"/>
                <w:szCs w:val="20"/>
                <w:color w:val="auto"/>
              </w:rPr>
            </w:pPr>
          </w:p>
        </w:tc>
      </w:tr>
      <w:tr>
        <w:trPr>
          <w:trHeight w:val="185"/>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taxes paid, including transferable federal tax credits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29"/>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obtained under financing arrangements</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Investigation Matters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an accrual of $26 million and $25 million at March 31, 2026 and December 31, 2025, respectively, related to its various legal proceedings. The Company’s estimate of the possible range of exposure for various legal proceedings in excess of amounts accrued is $0 million to approximately $160 million. In the opinion of management, the liabilities, if any, which may ultimately result from such legal proceedings are not expected to have a material adverse effect on the Company’s consolidated financial statements.</w:t>
      </w:r>
    </w:p>
    <w:p>
      <w:pPr>
        <w:spacing w:after="0" w:line="129"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t>On July 24, 2025, a federal securities law complaint was filed against the Company and Frank J. Bisignano (the Company’s former Chairman and Chief Executive Officer), Michael P. Lyons, Robert W. Hau (the Company’s former Chief Financial Officer), and Kenneth F. Best in the United States District Court for the Southern District of New York. The complaint is brought on behalf of a putative class of purchasers of Company securities from July 22,</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2024 to July 24, 2025 and alleges violations of Section 10(b) of the Securities Exchange Act of 1934 (the “Exchange Act”), and Rule 10b-5 thereunder, and Section 20(a) of the Exchange Act. The complaint alleges, among other things, that certain statements made by the Company about the growth of its Clover business management platform were false and/or misleading and led to a decline in the Company’s stock price over the purported class period. On November 17, 2025, lead plaintiffs were appointed in the action and it was assigned the caption </w:t>
      </w:r>
      <w:r>
        <w:rPr>
          <w:rFonts w:ascii="Times New Roman" w:cs="Times New Roman" w:eastAsia="Times New Roman" w:hAnsi="Times New Roman"/>
          <w:sz w:val="18"/>
          <w:szCs w:val="18"/>
          <w:i w:val="1"/>
          <w:iCs w:val="1"/>
          <w:color w:val="auto"/>
        </w:rPr>
        <w:t>In re Fiserv, Inc. Securities Litigation</w:t>
      </w:r>
      <w:r>
        <w:rPr>
          <w:rFonts w:ascii="Times New Roman" w:cs="Times New Roman" w:eastAsia="Times New Roman" w:hAnsi="Times New Roman"/>
          <w:sz w:val="18"/>
          <w:szCs w:val="18"/>
          <w:color w:val="auto"/>
        </w:rPr>
        <w:t>, No. 1:25-cv-06094.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November 4, 2025 and November 14, 2025, federal securities law complaints were filed against the Company and Messrs. Lyons and Hau in the United States District Court for the Eastern District of Wisconsin. The complaints are brought on behalf of a putative class of purchasers of Company securities from July 23, 2025 to at latest October 29, 2025, and allege violations of Section 10(b) of the Exchange Act and Rule 10b-5 thereunder, and Section 20(a) of the Exchange Act. The complaints allege, among other things, that certain statements made by the Company in connection with its second quarter 2025 earnings were false and/or misleading and led to a decline in the Company’s stock price over the purported class period. On February 5, 2026, the actions were consolidated under the caption </w:t>
      </w:r>
      <w:r>
        <w:rPr>
          <w:rFonts w:ascii="Times New Roman" w:cs="Times New Roman" w:eastAsia="Times New Roman" w:hAnsi="Times New Roman"/>
          <w:sz w:val="18"/>
          <w:szCs w:val="18"/>
          <w:i w:val="1"/>
          <w:iCs w:val="1"/>
          <w:color w:val="auto"/>
        </w:rPr>
        <w:t>In re Fiserv, Inc. Securities Litigation</w:t>
      </w:r>
      <w:r>
        <w:rPr>
          <w:rFonts w:ascii="Times New Roman" w:cs="Times New Roman" w:eastAsia="Times New Roman" w:hAnsi="Times New Roman"/>
          <w:sz w:val="18"/>
          <w:szCs w:val="18"/>
          <w:color w:val="auto"/>
        </w:rPr>
        <w:t>, No. 25-cv-1716. On April 28, 2026, an order was entered transferring the consolidated action to the Southern District of New York.</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Between December 10, 2025 and February 3, 2026, derivative complaints were filed by purported Company shareholders Richard Martin, Nathan Silva, and Gary Peterson in the United States District Court for the Eastern District of Wisconsin. On December 30, 2025, Mr. Martin filed an amended derivative complaint. On February 27, 2026 and April 14, 2026, derivative complaints were filed by purported Company shareholders Scott Kracht, Karen Artman, and Jenny Zhang in the Wisconsin Circuit Court for Milwaukee County. The actions name Messrs. Bisignano and Lyons, and certain other current and former officers and directors of the Company as individual defendants, and the Company as the nominal defendant, and generally allege that certain individual defendants breached their fiduciary duties and violated the Exchange Act in connection with, among other things, factual allegations made in the </w:t>
      </w:r>
      <w:r>
        <w:rPr>
          <w:rFonts w:ascii="Times New Roman" w:cs="Times New Roman" w:eastAsia="Times New Roman" w:hAnsi="Times New Roman"/>
          <w:sz w:val="18"/>
          <w:szCs w:val="18"/>
          <w:i w:val="1"/>
          <w:iCs w:val="1"/>
          <w:color w:val="auto"/>
        </w:rPr>
        <w:t xml:space="preserve">In re Fiserv, Inc. Securities Litigation </w:t>
      </w:r>
      <w:r>
        <w:rPr>
          <w:rFonts w:ascii="Times New Roman" w:cs="Times New Roman" w:eastAsia="Times New Roman" w:hAnsi="Times New Roman"/>
          <w:sz w:val="18"/>
          <w:szCs w:val="18"/>
          <w:color w:val="auto"/>
        </w:rPr>
        <w:t>actions. The actions also allege that certain individual defendants are liable for trading in Company stock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artificially inflated prices.</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also received demands on the board of directors from purported Company shareholders that the Company pursue certain litigation against certain of its current and former directors and officers alleging, among other things, supposed breaches of duty based on factual allegations made in the </w:t>
      </w:r>
      <w:r>
        <w:rPr>
          <w:rFonts w:ascii="Times New Roman" w:cs="Times New Roman" w:eastAsia="Times New Roman" w:hAnsi="Times New Roman"/>
          <w:sz w:val="18"/>
          <w:szCs w:val="18"/>
          <w:i w:val="1"/>
          <w:iCs w:val="1"/>
          <w:color w:val="auto"/>
        </w:rPr>
        <w:t>In re Fiserv, Inc. Securities Litigation</w:t>
      </w:r>
      <w:r>
        <w:rPr>
          <w:rFonts w:ascii="Times New Roman" w:cs="Times New Roman" w:eastAsia="Times New Roman" w:hAnsi="Times New Roman"/>
          <w:sz w:val="18"/>
          <w:szCs w:val="18"/>
          <w:color w:val="auto"/>
        </w:rPr>
        <w:t xml:space="preserve"> actions. The Company may receive additional demands and these demands may precede derivative actions which name the Company as a nominal defendant.</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defendants have not yet answered or otherwise responded to any of the complaints in these actions. The Company intends to vigorously defend these cases but cannot predict with any degree of certainty the outcome of the suits or determine the extent of any potential liability or damages.</w:t>
      </w:r>
    </w:p>
    <w:p>
      <w:pPr>
        <w:spacing w:after="0" w:line="108"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In November 2025, the Company began responding to requests for information from the Enforcement Division of the U.S. Securities and Exchange Commission and the U.S. Attorney’s Office for the Southern District of New York in connection with investigations related to the Company’s 2025 earnings guidance. The Company is cooperating with these investigations.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$1.3 billion and $1.7 billion at March 31, 2026 and December 31, 2025,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Segment Information</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operations are comprised of two reportable segments,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 lines (operating segments) aggregated within the Merchant segment consist of the following:</w:t>
      </w:r>
    </w:p>
    <w:p>
      <w:pPr>
        <w:spacing w:after="0" w:line="122" w:lineRule="exact"/>
        <w:rPr>
          <w:sz w:val="20"/>
          <w:szCs w:val="20"/>
          <w:color w:val="auto"/>
        </w:rPr>
      </w:pPr>
    </w:p>
    <w:p>
      <w:pPr>
        <w:ind w:left="660" w:right="220" w:hanging="328"/>
        <w:spacing w:after="0" w:line="230"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 management platform for small business clients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10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the Company’s integrated omnichannel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50"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 lines (operating segments) aggregated within the Financial segment consist of the following:</w:t>
      </w:r>
    </w:p>
    <w:p>
      <w:pPr>
        <w:spacing w:after="0" w:line="66" w:lineRule="exact"/>
        <w:rPr>
          <w:sz w:val="20"/>
          <w:szCs w:val="20"/>
          <w:color w:val="auto"/>
        </w:rPr>
      </w:pPr>
    </w:p>
    <w:p>
      <w:pPr>
        <w:ind w:left="660" w:right="14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4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activity; certain services revenue associated with various dispositions; expenses associated with the Company’s One Fiserv transformation initiative; and postage reimbursements. The Company’s One Fiserv action plan is a comprehensive, strategic initiative aimed to enhance client service, accelerate product development, address operational inefficiencies, and optimize capital management.</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who is also the Company’s chief operating decision maker (“CODM”), assesses segment performance and makes strategic decisions on the allocation of resources. Additionally, the Company’s Chief Executive Officer provides oversight on business leadership and corporate strategy to the executive leadership team, who manages the day to day operations of the various business lines.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CODM uses reportable segment operating income to evaluate segment performance and allocate resources, primarily during the annual budget and forecasting processes. The CODM regularly reviews variances between forecasted and actual results in assessing earnings, operational efficiency and growth performance, and allocating resources including personnel and capital allocations, to each reportable segment. There are no intersegment revenues contained within the respective reportable segment revenues.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from investments</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 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postage reimbursements.</w:t>
      </w:r>
    </w:p>
    <w:p>
      <w:pPr>
        <w:spacing w:after="0" w:line="10" w:lineRule="exact"/>
        <w:rPr>
          <w:rFonts w:ascii="Times New Roman" w:cs="Times New Roman" w:eastAsia="Times New Roman" w:hAnsi="Times New Roman"/>
          <w:sz w:val="21"/>
          <w:szCs w:val="21"/>
          <w:color w:val="auto"/>
          <w:vertAlign w:val="superscript"/>
        </w:rPr>
      </w:pPr>
    </w:p>
    <w:p>
      <w:pPr>
        <w:ind w:left="660" w:right="320" w:hanging="328"/>
        <w:spacing w:after="0" w:line="213" w:lineRule="auto"/>
        <w:tabs>
          <w:tab w:leader="none" w:pos="6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compensation and benefit costs of Company employees, as well as expenses paid to third parties for consulting and temporary help, net of capitalized software costs.</w:t>
      </w:r>
    </w:p>
    <w:p>
      <w:pPr>
        <w:ind w:left="640" w:hanging="308"/>
        <w:spacing w:after="0" w:line="191" w:lineRule="auto"/>
        <w:tabs>
          <w:tab w:leader="none" w:pos="6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 of goods sold, payments to distribution partners and other reselling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data processing, facility, and marketing costs that are directly charged to the reportable segments.</w:t>
      </w:r>
    </w:p>
    <w:p>
      <w:pPr>
        <w:ind w:left="660" w:right="300" w:hanging="328"/>
        <w:spacing w:after="0" w:line="220"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centrally-managed costs, including sales, technology and administrative expenses, that are allocated to the reportable segments from Corporate and Other and are considered in the CODM’s evaluation of segment performance.</w:t>
      </w:r>
    </w:p>
    <w:p>
      <w:pPr>
        <w:spacing w:after="0" w:line="1" w:lineRule="exact"/>
        <w:rPr>
          <w:rFonts w:ascii="Times New Roman" w:cs="Times New Roman" w:eastAsia="Times New Roman" w:hAnsi="Times New Roman"/>
          <w:sz w:val="21"/>
          <w:szCs w:val="21"/>
          <w:color w:val="auto"/>
          <w:vertAlign w:val="superscript"/>
        </w:rPr>
      </w:pPr>
    </w:p>
    <w:p>
      <w:pPr>
        <w:ind w:left="660" w:right="120" w:hanging="328"/>
        <w:spacing w:after="0" w:line="220"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acquisition-related intangible assets; costs associated with acquisition activity; unallocated corporate expenses; expenses associated with the Company’s One Fiserv transformation initiative; and gains or losses on sale of assets.</w:t>
      </w:r>
    </w:p>
    <w:p>
      <w:pPr>
        <w:spacing w:after="0" w:line="1" w:lineRule="exact"/>
        <w:rPr>
          <w:rFonts w:ascii="Times New Roman" w:cs="Times New Roman" w:eastAsia="Times New Roman" w:hAnsi="Times New Roman"/>
          <w:sz w:val="21"/>
          <w:szCs w:val="21"/>
          <w:color w:val="auto"/>
          <w:vertAlign w:val="superscript"/>
        </w:rPr>
      </w:pPr>
    </w:p>
    <w:p>
      <w:pPr>
        <w:ind w:left="660" w:right="180" w:hanging="328"/>
        <w:spacing w:after="0" w:line="215" w:lineRule="auto"/>
        <w:tabs>
          <w:tab w:leader="none" w:pos="64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foreign currency transaction gains and losses, gains or losses from a sale or change in fair value of investments in certain equity securities, and amounts related to debt guarantee arrangements of certain equity method investments.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significant items include: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6"/>
                <w:szCs w:val="16"/>
                <w:color w:val="auto"/>
              </w:rPr>
            </w:pPr>
          </w:p>
        </w:tc>
        <w:tc>
          <w:tcPr>
            <w:tcW w:w="1280" w:type="dxa"/>
            <w:vAlign w:val="bottom"/>
          </w:tcPr>
          <w:p>
            <w:pPr>
              <w:ind w:left="280"/>
              <w:spacing w:after="0" w:line="185"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55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Merchant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Financial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Merchant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280" w:hanging="328"/>
        <w:spacing w:after="0" w:line="230"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associated with commissions, residual buyouts and deferred conversion/implementation costs included within personnel expenses, direct costs and other operating expenses, respectively, in the segment operating results tables above.</w:t>
      </w:r>
    </w:p>
    <w:p>
      <w:pPr>
        <w:spacing w:after="0" w:line="1"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amortization of acquisition-related intangible assets, such as customer relationships, software/technology and trade names.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evaluate the performance of or allocate resources to its reportable segments using asset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our ability to successfully implement and achieve the expected benefits associated with our One Fiserv action plan;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us and our employees, clients, vendors, supply chain, operations and sales; our ability to use artificial intelligence to improve our products and services and enhance our operations;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identified in “Risk Factors” in our Annual Report on Form 10-K for the year ended December 31, 2025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38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products and services that we provide, acquisitions,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4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62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contains an analysis of our results of operations presented in the accompanying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by comparing the results for the three months ended March 31, 2026 to the comparable period in 2025.</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March 31,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Background</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corporate and public sector clients. We help clients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 Our operations are comprised of the Merchant Solutions (“Merchant”) segment and Financial Solutions (“Financial”) segment.</w:t>
      </w:r>
    </w:p>
    <w:p>
      <w:pPr>
        <w:spacing w:after="0" w:line="14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focused on providing exceptional client service, world-class execution, value-added technology solutions, and cutting-edge innovation. Our long-term focus is to meet our financial commitments, deliver compelling, innovative solutions that address our clients’ most critical needs, and realize productivity and efficiency gains by embedding artificial intelligence (“AI”) in our products, services and business operations.</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businesses in our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POS devices; and pay-by-bank solutions. The business lines aggregated within the Merchant segment consist of the following:</w:t>
      </w:r>
    </w:p>
    <w:p>
      <w:pPr>
        <w:spacing w:after="0" w:line="124" w:lineRule="exact"/>
        <w:rPr>
          <w:sz w:val="20"/>
          <w:szCs w:val="20"/>
          <w:color w:val="auto"/>
        </w:rPr>
      </w:pPr>
    </w:p>
    <w:p>
      <w:pPr>
        <w:ind w:left="660" w:right="18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(“ISVs”), including Clover, our POS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management platform for small business clients</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our integrated omnichannel operating system for enterprise clients</w:t>
      </w:r>
    </w:p>
    <w:p>
      <w:pPr>
        <w:spacing w:after="0" w:line="117"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the Merchant segment businesses through a variety of channels, including direct sales teams, strategic partnerships with agent sales forces, ISVs, independent sales organizations, financial institutions and other strategic partners in the form of joint venture alliances, revenue sharing alliances and referral agreements.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businesses in our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66" w:lineRule="exact"/>
        <w:rPr>
          <w:sz w:val="20"/>
          <w:szCs w:val="20"/>
          <w:color w:val="auto"/>
        </w:rPr>
      </w:pPr>
    </w:p>
    <w:p>
      <w:pPr>
        <w:ind w:left="660" w:right="16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activity; certain services revenue associated with various dispositions; expenses associated with our One Fiserv transformation initiative; and postage reimbursements.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One Fiserv Action Plan</w:t>
      </w:r>
    </w:p>
    <w:p>
      <w:pPr>
        <w:spacing w:after="0" w:line="17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In the third quarter of 2025, we launched the One Fiserv action plan designed to prioritize and enhance client focus across five strategic pillars. The One Fiserv action plan centers our investments in areas that build on Fiserv’s strengths, including: operating with a client-first mindset to grow our client base and average revenue per client; building the pre-eminent small business operating platform through Clover</w:t>
      </w:r>
      <w:r>
        <w:rPr>
          <w:rFonts w:ascii="Arial" w:cs="Arial" w:eastAsia="Arial" w:hAnsi="Arial"/>
          <w:sz w:val="23"/>
          <w:szCs w:val="23"/>
          <w:color w:val="auto"/>
          <w:vertAlign w:val="superscript"/>
        </w:rPr>
        <w: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modernizing existing platforms and launching innovative solutions to drive value for our clients, including embedded finance and stablecoin; increasing efficiency enabled by AI; and employing disciplined capital allocation for the long-term.</w:t>
      </w:r>
    </w:p>
    <w:p>
      <w:pPr>
        <w:spacing w:after="0" w:line="14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 advance this transformation, we are simplifying and standardizing processes, adopting new ways of working, and embedding AI to create a higher-quality, more productive business. This approach rethinks how business functions operate and aligns our product portfolio for the future. We are modernizing our technology infrastructure, enhancing resiliency, and reengineering our operating model through AI and advanced automation. We expect these efforts to strengthen efficiency, scalability, and innovation to deliver differentiated value and an exceptional experience for our clients.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and Other Transactions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or financial strategies. The results of operations for the following acquired businesses are included in our consolidated results from the respective dates of acquisition.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On December 17, 2025, we acquired StoneCastle Cash Management, LLC, INDX Processing, LLC and StoneCastle Trust Co. (collectively, “StoneCastle”), a provider of deposit funding solutions. StoneCastle is included within the Financial segment and provides its network of depository institutions easy access to stable, cost efficient deposit funding. On October 1, 2025, we acquired a portion of The Toronto-Dominion Bank’s merchant processing business in Canada (“TD Merchant Canada”). This business is included within the Merchant segment and expands the footprint of our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In connection with this transaction, we signed a multi-year strategic managed services program agreement with The Toronto-Dominion Bank to utilize our technology, including Clover, within its Merchant Solutions business.</w:t>
      </w:r>
    </w:p>
    <w:p>
      <w:pPr>
        <w:spacing w:after="0" w:line="1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September 25, 2025, we acquired the Smith Consulting Group, LLC business (“SCG”), an operational consulting service utilized by community banks and credit unions across the U.S. SCG is included within the Financial segment and supports our ability to provide consultative engagement to enhance community banks’ and credit unions’ strategic investments. On September 4, 2025, we acquired CardFree Inc. (“CardFree”), an all-in-one platform delivering integrated order, payment and loyalty solutions for merchants. CardFree is included within the Merchant segment and further expands the capabilities of our Clover platform across the hospitality, restaurant and lodging industries.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4, 2025, we acquired Money Money Serviços Financeiros S.A. (“Money Money”), a provider of risk analysis and credit decisioning solutions. Money Money is included within the Merchant segment and expands our payment and financial service capabilities, enabling access to working capital and other payment solutions for small and medium-sized businesses. On April 4, 2025, we acquired Pinch Payments NZ Limited (together with Zootive Pty Ltd, “Pinch Payments”), a payment facilitator. Pinch Payments is included within the Merchant segment and expands our flexible payment services for our partners and clients and our presence within the Asia-Pacific region.</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18, 2025, we acquired CCV Group B.V. (“CCV”), a supplier of POS payment solutions. CCV is included within the Merchant segment and expands our network of payment solutions, enabling our ability to accelerate the deployment of our Clover POS and business management platform across Europe. On March 2, 2025, we acquired Payfare, Inc. (“Payfare”), a provider of program management solutions powering instant access to earnings and banking solutions for workforces. Payfare is included within the Financial segment and expands our embedded finance capabilities for large enterprises and financial institutions.</w:t>
      </w:r>
    </w:p>
    <w:p>
      <w:pPr>
        <w:spacing w:after="0" w:line="1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acquired these businesses for an aggregate purchase price, including deferred payments, of $857 million, net of $84 million of acquired cash and including earn-out provisions estimated at a fair value of $35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5, 2025, we acquired the remaining 49.9% ownership interest, including cash held of $195 million, in AIB Merchant Services (“AIBMS”), a payments solution provider, for $420 million. On April 17, 2025, we acquired the remaining 19% ownership interest in ICICI Merchant Services Private Limited, a merchant acceptance business, for $22 million. We previously held a majority controlling financial interest in each of these subsidiaries, which continue to be consolidated and reported within the Merchant segment.</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third quarter of 2024, Wells Fargo Bank, National Association (“Wells Fargo”) provided us with a notice of non-renewal for the Wells Fargo Merchant Services merchant alliance (“WFMS”), which was accounted for as an equity method investment. Upon the expiration of the joint venture in April 2025, we received a cash payment of $453 million. In connection with the non-renewal of WFMS, we entered into a multi-year agreement with Wells Fargo to provide processing for current and future merchant clients as well as other services to Wells Fargo’s merchant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Industry Trends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customer experience. These innovations are driving a competitive landscape where customer expectations evolve rapidly as services digitize and choices multiply.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Consumers are increasingly using digital wallets, contactless payments, and mobile-first solutions, making omnichannel strategies that integrate online, mobile, and in-store experiences essential for customer retention. Consumers expect instant and secure checkouts, making simplified payment orchestration critical.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Merchants are moving beyond traditional payment acceptance to offer embedded financial services to deepen customer relationships and create new revenue streams. Unified commerce solutions and value-added services are becoming key differentiators in competitive markets.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solution providers in the industry, many of which have chosen to integrate merchant acquiring into their software as a way to generate revenue from existing client relationships. Such providers are referred to as ISVs, and we believe there are numerous potential distribution partnership opportunities to cross-sell multiple value-added solutions available to us.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 We are at the intersection of finance and commerce, creating opportunities for integrated solutions that combine payment acceptance, financial services, and data-driven insights.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Institutions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Financial institutions must be able to serve their customers with tailored solutions, delivered how and when those customers desire. In addition, financial institutions are striving for this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 reduce their costs. We have invested in integrating our platforms and value-added solutions to make it easy for a client to buy across our full product suite.</w:t>
      </w:r>
    </w:p>
    <w:p>
      <w:pPr>
        <w:spacing w:after="0" w:line="1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Demand for innovative payment solutions continues to grow, with a focus on faster, more convenient options across mobile channels, online applications, in-store cards, and digital currencies. Financial institutions are adopting advanced technologies, introducing new solutions, and responding to an increasingly complex regulatory landscape. 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Stablecoins and cryptocurrencies may also become more widely used as digital currencies provide increased accessibility and efficiency. We believe that economies of scale in developing and maintaining the infrastructure, technology, products, services and networks necessary to be competitive in such a dynamic environment are essential to justify these investments, and we anticipate that demand for products that facilitate customer interaction with</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financial institutions, including a unified, seamless customer experience across mobile and online channels, will continue to increase, which we expect to create revenue opportunities for 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Market Conditions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Global macroeconomic conditions, including changing interest rates; inflation; disruptions in the global supply chain; changes in consumer spending; legislative changes, including potential effects of new tax laws; the effects of international hostilities; political conditions; regulations restricting trade or impacting our ability to offer products or services; and trade policies and tariffs, could have a material adverse effect on our business, results of operations and financial condition. A decline in personal consumption and consumer savings in the U.S.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interest rates and exchange rates for currencies other than the U.S. dollar, including the Euro, British Pound, Indian Rupee, Brazilian Real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in the U.S., we actively monitor the interest rate and foreign exchange rate environment and may enter into derivative instruments and utilize other non-derivative hedging instruments with creditworthy institutions in an effort to manage these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and accompanying notes have been prepared in accordance with accounting principles generally accepted in the United States of America, which require management to make estimates, judgments and assumptions that affect the reported amount of assets, liabilities, revenue and expenses. In our Annual Report on Form 10-K for the year ended December 31, 2025,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of businesses and may record purchase accounting adjustments during the measurement period, which may be up to one year from the acquisition date. Additionally, we review the carrying value of goodwill for impairment by comparing the estimated fair values of our reporting units to their respective carrying values.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expenses associated with our One Fiserv transformation initiative, net gain on sale of assets, and foreign currency fluctuations.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00" w:type="dxa"/>
            <w:vAlign w:val="bottom"/>
          </w:tcPr>
          <w:p>
            <w:pPr>
              <w:spacing w:after="0"/>
              <w:rPr>
                <w:sz w:val="18"/>
                <w:szCs w:val="18"/>
                <w:color w:val="auto"/>
              </w:rPr>
            </w:pPr>
          </w:p>
        </w:tc>
        <w:tc>
          <w:tcPr>
            <w:tcW w:w="210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xml:space="preserve">Increase (Decrease)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Net gain on sale of assets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1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income (loss) from</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Income (loss) from investments in unconsolidated</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660" w:right="240" w:hanging="328"/>
        <w:spacing w:after="0" w:line="225"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42"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10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2,373</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2,302</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growth (decline)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(decline) percentage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w:t>
            </w: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decline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income decline percentage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Operating margin decline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(780) bps</w:t>
            </w:r>
          </w:p>
        </w:tc>
        <w:tc>
          <w:tcPr>
            <w:tcW w:w="17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(940) 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decline in operating margin.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Total revenue decreased $103 million, or 2%, in the first quarter of 2026 compared to the first quarter of 2025, primarily due to a decrease in data and analytics sales and license revenue. Revenue was flat in our Merchant segment and decreased 5% in our Financial segment in the first quarter of 2026 compared to the prior year period.</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Revenue in our Merchant segment was flat in the first quarter of 2026 compared to the first quarter of 2025. Small Business contributed 1% growth to Merchant segment revenue in the first quarter of 2026, primarily driven by volume growth, including from our Clover POS and business management platform, as well as the expansion of our merchant relationships through value-added services. Enterprise contributed slight growth to Merchant segment revenue in the first quarter of 2026, primarily driven by transaction growth, offset by a decrease in data and analytics sales. Revenue in Small Business and Enterprise were negatively impacted by a decrease in anticipation revenue associated with our operations in Latin America, caused by lower inflation and interest rates. Processing contributed a 1% decline to Merchant segment revenue in the first quarter of 2026, primarily driven by a decrease in hardware sales.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Revenue in our Financial segment decreased $115 million, or 5%, in the first quarter of 2026 compared to the first quarter of 2025. Digital Payments and Issuing each contributed a 2% decline to Financial segment revenue in the first quarter of 2026, while Banking contributed a 1% decline to Financial segment revenue. Revenue in our Financial segment in the first quarter of 2026 was negatively impacted by a decrease in data and analytics sales and license revenue compared to the prior year period, primarily within Digital Payments and Issuing.</w:t>
      </w:r>
    </w:p>
    <w:p>
      <w:pPr>
        <w:spacing w:after="0" w:line="12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Revenue at Corporate and Other increased $11 million, or 3%, in the first quarter of 2026 compared to the first quarter of 2025, due to an increase in postage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Total expenses increased $374 million, or 10%, in the first quarter of 2026 compared to the first quarter of 2025. Total expenses as a percentage of total revenue increased 890 basis points to 81.7% in the first quarter of 2026 compared to the prior year period. Total expenses as a percentage of total revenue were impacted by higher costs to support the client experience, including personnel costs of approximately 480 basis points; costs associated with our strategic One Fiserv transformation program of approximately 280 basis points; and data processing costs of approximately 230 basis points. Total expenses as a percentage of total revenue in the first quarter of 2026 was favorably impacted by a net gain on the sale-leaseback of certain facilities of $83 million.</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increased to 39.6% in the first quarter of 2026 compared to 34.3% in the first quarter of 2025. Cost of processing and services as a percentage of processing and services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revenue was negatively impacted by higher personnel costs of approximately 270 basis points; costs associated with our strategic One Fiserv transformation program of approximately 160 basis points; and higher data processing costs of approximately 150 basis points.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Cost of product as a percentage of product revenue increased to 72.8% in the first quarter of 2026 compared to 63.0% in the first quarter of 2025. Cost of product as a percentage of product revenue in the first quarter of 2026 was negatively impacted by a decrease in total company high margin data and analytics sales and license revenue compared to the prior year period.</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increased to 37.5% in the first quarter of 2026 compared to 32.8% in the first quarter of 2025. Selling, general and administrative expenses as a percentage of total revenue in the first quarter of 2026 was negatively impacted by higher personnel costs of approximately 200 basis points; costs associated with our strategic One Fiserv transformation program of approximately 150 basis points; and higher payments to distribution partners of approximately 100 basis points.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quarter of 2026 included a net gain on the sale-leaseback of certain facilities of $83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operating income decreased $477 million, or 34%, in the first quarter of 2026 compared to the first quarter of 2025. Total operating margin decreased 890 basis points to 18.3% in the first quarter of 2026 compared to the prior year period. Total operating income and total operating margin were negatively impacted by a decrease in high margin data and analytics sales and license revenue, along with higher costs to support the client experience, including personnel and data processing costs.</w:t>
      </w:r>
    </w:p>
    <w:p>
      <w:pPr>
        <w:spacing w:after="0" w:line="126"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Operating income in our Merchant segment decreased $184 million, or 23%, in the first quarter of 2026 compared to the first quarter of 2025. Operating margin decreased 780 basis points to 26.4% in the first quarter of 2026 compared to the prior year period. Operating income and operating margin in our Merchant segment were negatively impacted by a decrease in high margin data and analytics sales; higher payments to distribution partners; and higher personnel costs in the first quarter of 2026 compared to the first quarter of 2025.</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Operating income in our Financial segment decreased $271 million, or 24%, in the first quarter of 2026 compared to the first quarter of 2025. Operating margin decreased 940 basis points to 38.1% in the first quarter of 2026 compared to the prior year period. The decrease in operating income and operating margin in our Financial segment in the first quarter of 2026 was primarily due to a decrease in high margin data and analytics sales and license revenue compared to the first quarter of 2025, along with higher personnel and data processing costs.</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operating loss in Corporate and Other increased $22 million in the first quarter of 2026 compared to the first quarter of 2025. The operating loss in the first quarter of 2026 was negatively impacted by $142 million of costs associated with our strategic One Fiserv transformation program, partially offset by a net gain of $83 million on the sale-leaseback of certain facilities.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expense, net increased $16 million, or 5%, in the first quarter of 2026 compared to the first quarter of 2025 due to debt financing activities, including our public offering and issuances of $2.0 billion and €2.175 billion of senior notes in August 2025 and May 2025, respectively, as well as an increase in finance lease and other financing obligations, partially offset by lower variable weighted average interest rates on our foreign lines of credit.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income (expense), net was $22 million and $(18) million in the first quarter of 2026 and 2025, respectively. Other income (expense), net includes the remeasurement of monetary assets and liabilities for subsidiaries located in highly inflationary economies, gains or losses from a sale or change in fair value of investments in equity securities, and amounts related to debt guarantee arrangements of certain joint ventures. The remeasurement of monetary assets and liabilities in highly inflationary economies, including Argentina, resulted in foreign currency exchange gains (losses) of $21 million and $(18) million for the three months ended March 31, 2026 and 2025,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income (loss) from investments in unconsolidated affiliates was 4.0% and 18.2% for the three months ended March 31, 2026 and 2025, respectively. The effective income tax rate for the three months ended March 31, 2026 included the impact of a $293 million benefit related to the release of a valuation allowance against certain foreign net operating loss carryforwards that were determined to be realizable during the first quarter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2026. This benefit was partially offset by a $39 million increase in U.S. federal unrecognized tax benefits for tax positions taken in prior years,</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$35 million in discrete tax expense from share-based awards and a $39 million increase in various other foreign valuation allowances. The net impact of these items in the first quarter of 2026 resulted in a lower effective income tax rate compared to the statutory tax rate. The effective income tax rate for the three months ended March 31, 2025 included discrete tax benefits from share-based awards, resulting in a lower effective income tax rate compared to the statutory income tax 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Investments in Unconsolidated Affiliates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share of income (loss) from unconsolidated affiliates accounted for using the equity method is reported as income (loss) from investments in unconsolidated affiliates, and the related tax benefit is reported within the income tax provision in the consolidated statements of income. Income (loss) from investments in unconsolidated affiliates, including acquired intangible asset amortization from valuations in purchase accounting, was $4 million and $(8) million in the first quarter of 2026 and 2025,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noncontrolling interests relates to the minority partners’ share of the net income or loss in our consolidated subsidiaries and was $2 million and $(3) million in the first quarter of 2026 and 2025,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$1.07 and $1.51 in the first quarter of 2026 and 2025, respectively, driven by the impacts to net income attributable to Fiserv, Inc. described above. Net income attributable to Fiserv, Inc. per share-diluted also includes the impact of a reduction in our diluted weighted average outstanding shares due to our share repurchase program (3.3 million and 9.7 million shares of common stock were repurchased in the first quarter of 2026 and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 and other financing obligations; and (iii) fund capital expenditures and operating lease payments. We believe these needs will be satisfied in both the short and long term using cash flow generated by our operations, along with our cash and cash equivalents of $829 million, proceeds from the issuance of U.S. dollar and Euro commercial paper, and available capacity under our revolving credit facility of $3.8 billion (net of $221 million of outstanding revolver borrowings and $4.0 billion of capacity designated for outstanding borrowings under our commercial paper programs, senior notes due within the next 12 months and letters of credit) at March 31,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foreign currency exchange (gains) losses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cash flow was $599 million in the first three months of 2026, a decrease of 8% compared with $648 million in the first three months of 2025. The decrease was primarily attributable to lower profitability, partially offset by a lower use of working capital compared to the first three months of 2025, including trade accounts receivable collections and timing of prepaid expenses.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merchant and settlement anticipation cash advances, share repurchases, acquisitions and to repay debt rather than to pay dividends. Our capital expenditures were approximately 9% and 7% of our total revenue for the first three months of 2026 and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repurchased 3.3 million shares of our common stock for $200 million and 9.7 million shares of our common stock for $2.2 billion during the first three months of 2026 and 2025, respectively. On February 19, 2025, our board of directors authorized the purchase of up to 60.0 million shares of our common stock. This authorization does not expire. As of March 31, 2026, we had approximately 42.6 million shares remaining under our existing repurchase authorization. Shares repurchased are generally held for issuance in connection with our equity plans.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and Other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of Businesses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acquired StoneCastle, TD Merchant Canada, SCG, CardFree, Money Money, Pinch Payments, CCV, and Payfare in 2025 for an aggregate purchase price, including deferred payments, of $857 million, net of $84 million of acquired cash and including earn-out provisions estimated at a fair value of $35 million. We funded these acquisitions by utilizing a combination of available cash and commercial paper. The results of operations for these acquired businesses are included in our consolidated results from the respective dates of acquisition.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7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 first quarter of 2026, we entered into sale leaseback arrangements for certain of our facilities for an aggregate net sales price of $201 million. Proceeds of $183 million received in the first quarter of 2026 were primarily used for general corporate purposes, including the repayment of debt. The remaining $18 million of proceeds are expected to be received in the second quarter of 2026.</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September 2025, we acquired the remaining 49.9% ownership interest, including cash held of $195 million, in AIBMS for $420 million. In April 2025, we acquired the remaining 19% ownership interest in ICICI Merchant Services Private Limited for $22 million. We previously held a majority controlling financial interest in each of these consolidated subsidiaries and funded these transactions utilizing a combination of available cash and proceeds from commercial paper borrowings.</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2024, Wells Fargo provided us with a notice of non-renewal for WFMS and upon the expiration of the joint venture in April 2025, we received a cash payment of $453 million, which was primarily used to pay down indebtedness and for share repurchases.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49"/>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99"/>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2.875% senior notes due June 2028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4.550% senior notes due February 2031</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June 2032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5.250% senior notes due August 2035</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 senior notes due June 2036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hedge accounting adjustments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2025, we completed the public offering and issuance of $2.0 billion of senior notes, comprised of $1.0 billion aggregate principal amount of 4.550% senior notes due in February 2031 and $1.0 billion aggregate principal amount of 5.250% senior notes due in August 2035. We used the net proceeds from this senior notes offering for general corporate purposes, including the repayment of a portion of our commercial paper notes and for share repurchases.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Fiserv Funding Unlimited Company, an indirect wholly owned subsidiary of Fiserv, Inc., completed the public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offering and issuance of €2.175 billion of senior notes, comprised of €750 million aggregate principal amount of 2.875% senior notes due in June 2028 (the “2028 notes”), €775 million aggregate principal amount of 3.500% senior notes due in June 2032 (the “2032 notes”) and €650 million aggregate principal amount of 4.000% senior notes due in June 2036 (the “2036 notes”). Fiserv, Inc. has fully and unconditionally guaranteed these notes on a senior unsecured basis. We used the net proceeds from this senior notes offering for general corporate purposes, including the repayment of a portion of our commercial paper notes, 3.850% senior notes due in June 2025 and 2.250% senior notes due in July 2025.</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March 31, 2026, our debt consisted primarily of fixed-rate senior notes in the aggregate principal amount of $24.8 billion and $1.2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 portion of our senior notes, in the aggregate notional amount of $775 million, are designated as fair value hedges through fixed-to-floating interest rate swap contracts, which economically changes the hedged notes to variable rate debt. The fair value adjustments associated with our hedged senior notes, as reflected in the table above, are offset by the change in the fair value of the fixed-to-floating interest rate swap contracts.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March 31, 2026, the 3.200% senior notes due July 2026 and 5.150% senior notes due March 2027 were classified in the consolidated balance sheet as long-term, as we have the intent to refinance this debt on a long-term basis, and the ability to do so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March 31, 2026:</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4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17.741%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4.009%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2.330%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2030</w:t>
            </w: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4.655%</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8.285%</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80"/>
        <w:spacing w:after="0" w:line="289" w:lineRule="auto"/>
        <w:rPr>
          <w:sz w:val="20"/>
          <w:szCs w:val="20"/>
          <w:color w:val="auto"/>
        </w:rPr>
      </w:pPr>
      <w:r>
        <w:rPr>
          <w:rFonts w:ascii="Times New Roman" w:cs="Times New Roman" w:eastAsia="Times New Roman" w:hAnsi="Times New Roman"/>
          <w:sz w:val="17"/>
          <w:szCs w:val="17"/>
          <w:color w:val="auto"/>
        </w:rPr>
        <w:t>We maintain various short-term lines of credit and other borrowing arrangements with foreign banks and alliance partners primarily to fund advances associated with operations in Latin America through our settlement anticipation program. The following table provides a summary of the outstanding borrowings and weighted average interest rates of our foreign lines of credit and other borrowing arrangements by country at March 31, 2026: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 Interest</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Outstanding Borrowings</w:t>
            </w:r>
          </w:p>
        </w:tc>
      </w:tr>
      <w:tr>
        <w:trPr>
          <w:trHeight w:val="241"/>
        </w:trPr>
        <w:tc>
          <w:tcPr>
            <w:tcW w:w="708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00" w:type="dxa"/>
            <w:vAlign w:val="bottom"/>
          </w:tcPr>
          <w:p>
            <w:pPr>
              <w:spacing w:after="0"/>
              <w:rPr>
                <w:sz w:val="20"/>
                <w:szCs w:val="20"/>
                <w:color w:val="auto"/>
              </w:rPr>
            </w:pPr>
          </w:p>
        </w:tc>
        <w:tc>
          <w:tcPr>
            <w:tcW w:w="16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25"/>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35.787 %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 and Other</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17.741 %</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0"/>
        </w:trPr>
        <w:tc>
          <w:tcPr>
            <w:tcW w:w="7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offer advanced funding of settlement activity associated with operations in Latin America through our settlement anticipation program by utilizing local operating cash and various short-term lines of credit. In the event we are unable to continue to borrow in the local Latin America markets, we may fund future advances with our consolidated cash and cash equivalents and available capacity under our revolving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maintain a senior unsecured multicurrency revolving credit facility, which matures in August 2030 and provides for a maximum aggregate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availability of $8.0 billion. Borrowings under the credit facility bear interest at a variable base rate, determined by the term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of the borrowing, plus a specified margin based on our long-term debt rating. Outstanding borrowings under the revolving credit facility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$221 million at March 31, 2026. We are required to pay a facility fee based on the aggregate commitments in effect under the credit agreement from time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 and Compliance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and from time to time, at the applicable redemption price.</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2026,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Guarantees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variable-rate term loan facilities with aggregate outstanding borrowings of $393 million in senior unsecured debt at March 31, 2026 and variable-rate revolving credit facilities with an aggregate borrowing capacity of $83 million with a syndicate of banks, which mature in April 2027. There were $44 million of aggregate outstanding borrowings on the revolving credit facilities at March 31, 2026. We have guaranteed the debt of the Lending Joint Ventures. We maintained a liability of $9 million at March 31, 2026 for the estimated fair value of our non-contingent obligations to stand ready to perform over the term of the guarantee arrangements. Such guarantees will be amortized in future periods over the contractual term of the debt. In addition, we maintained a contingent liability of $5 million at March 31, 2026,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Guarantor Information</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Fiserv, Inc. has fully, unconditionally and solely guaranteed on a senior unsecured basis the 2028 notes, 2032 notes and 2036 notes (the “Guaranteed Notes”) issued by Fiserv Funding Unlimited Company (the “Issuer”), an indirect wholly owned subsidiary of Fiserv, Inc. No other subsidiary of Fiserv, Inc. or the Issuer has guaranteed the Guaranteed Notes. The Guaranteed Notes are the Issuer’s unsecured senior obligations and rank equally with other unsecured senior indebtedness of the Issuer from time to time outstanding. The guarantees of Fiserv, Inc. are unsecured senior obligations of Fiserv, Inc. and rank equally with other unsecured senior indebtedness of Fiserv, Inc. from time to time outstanding.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7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40" w:type="dxa"/>
            <w:vAlign w:val="bottom"/>
          </w:tcPr>
          <w:p>
            <w:pPr>
              <w:spacing w:after="0"/>
              <w:rPr>
                <w:sz w:val="19"/>
                <w:szCs w:val="19"/>
                <w:color w:val="auto"/>
              </w:rPr>
            </w:pPr>
          </w:p>
        </w:tc>
        <w:tc>
          <w:tcPr>
            <w:tcW w:w="69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48"/>
        </w:trPr>
        <w:tc>
          <w:tcPr>
            <w:tcW w:w="4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180" w:hanging="328"/>
        <w:spacing w:after="0" w:line="225" w:lineRule="auto"/>
        <w:tabs>
          <w:tab w:leader="none" w:pos="64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associated with: intermediary settlement advances; wholly owned entities subject to regulatory requirements; cash in transit; or cash in our joint ventures that is not available to fund operations outside of the respective entities unless approved by the board of directors of the relevant entity.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fixed-to-floating interest rate swap contracts and other non-derivative hedging instruments to manage risk.</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arises from our international operations to the extent they are conducted in local currency. The major currencies to which our revenues are exposed are the Argentine Peso, Brazilian Real, British Pound, Euro and Indian Rupee. Changes in the value of underlying monetary assets and liabilities of our non-U.S. dollar-denominated foreign investments and foreign currency transactions in highly inflationary economies may result in foreign currency exchange losses.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In April 2025, the Argentine government announced economic policy changes, including the removal of certain currency controls, resulting in a significant devaluation of the Argentine Peso. Additionally, the Argentine Peso experienced significant volatility during 2025 due to the recent economic landscape in Argentina. The remeasurement of monetary assets and liabilities in highly inflationary economies, including Argentina, resulted in foreign currency exchange gains (losses) of $21 million and $(18) million for the three months ended March 31, 2026 and 2025, respectively, which is included within other income (expense), net in the consolidated statement of income.</w:t>
      </w:r>
    </w:p>
    <w:p>
      <w:pPr>
        <w:spacing w:after="0" w:line="14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Item 7A of our Annual Report on Form 10-K for the year ended December 31, 2025. There were no significant changes to our quantitative and qualitative analyses about market risk during the three months ended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effectiveness of our disclosure controls and procedures (as defined in Rules 13a-15(e) and 15d-15(e) under the Exchange Act). Based on this evaluation, our chief executive officer and chief financial officer concluded that our disclosure controls and procedures were effective as of March 31,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the information set forth in Note 17, Commitments and Contingencies – Litigation and Investigation Matters, which is incorporated by reference in response 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March 31, 2026: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20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40" w:type="dxa"/>
            <w:vAlign w:val="bottom"/>
            <w:gridSpan w:val="3"/>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0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or Programs </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 2026</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45,874,150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1-28, 2026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43,374,150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763,623</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42,610,527</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3,263,623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3,263,623</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18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19, 2025, our board of directors authorized the purchase of up to 60.0 million shares of our common stock. This authorization does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180" w:firstLine="8"/>
        <w:spacing w:after="0" w:line="282"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none of the Company’s directors or Section 16 officers adopted or terminated a “Rule 10b5-1 trading arrangement” or “non-Rule 10b5-1 trading arrangement,” each as defined in Item 408(a)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60" w:type="dxa"/>
            <w:vAlign w:val="bottom"/>
            <w:gridSpan w:val="5"/>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34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6"/>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3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spacing w:after="0"/>
              <w:rPr>
                <w:sz w:val="24"/>
                <w:szCs w:val="24"/>
                <w:color w:val="auto"/>
              </w:rPr>
            </w:pPr>
          </w:p>
        </w:tc>
        <w:tc>
          <w:tcPr>
            <w:tcW w:w="9340" w:type="dxa"/>
            <w:vAlign w:val="bottom"/>
            <w:gridSpan w:val="8"/>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Subsidiary Issuers of Guaranteed Securities (incorporated by reference to Exhibit 22 to the Company’s Quarterly Report on Form</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3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10-Q filed on July 24, 2025).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4"/>
                <w:szCs w:val="24"/>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9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5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3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1"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right="160" w:hanging="8"/>
        <w:spacing w:after="0" w:line="265" w:lineRule="auto"/>
        <w:tabs>
          <w:tab w:leader="none" w:pos="55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Statements of Income for the three months ended March 31, 2026 and 2025, (ii) the Consolidated Statements of Comprehensive Income for the three months ended March 31, 2026 and 2025, (iii) the Consolidated Balance Sheets at March 31, 2026 and December 31, 2025,</w:t>
      </w:r>
    </w:p>
    <w:p>
      <w:pPr>
        <w:ind w:left="340" w:hanging="8"/>
        <w:spacing w:after="0" w:line="260" w:lineRule="auto"/>
        <w:tabs>
          <w:tab w:leader="none" w:pos="6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for the three months ended March 31, 2026 and 2025, (v) Notes to Consolidated Financial Statements, and (vi) the information included in Part II, Item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6, 2026</w:t>
            </w: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M. Todd</w:t>
            </w:r>
          </w:p>
        </w:tc>
      </w:tr>
      <w:tr>
        <w:trPr>
          <w:trHeight w:val="218"/>
        </w:trPr>
        <w:tc>
          <w:tcPr>
            <w:tcW w:w="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Todd</w:t>
            </w:r>
          </w:p>
        </w:tc>
      </w:tr>
      <w:tr>
        <w:trPr>
          <w:trHeight w:val="234"/>
        </w:trPr>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6, 2026</w:t>
            </w:r>
          </w:p>
        </w:tc>
        <w:tc>
          <w:tcPr>
            <w:tcW w:w="27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Lyons,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2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P.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43180</wp:posOffset>
            </wp:positionV>
            <wp:extent cx="23399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Michael P. Lyons</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M. Todd,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M.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Paul M. Todd</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March 31, 2026 as filed with the Securities and Exchange Commission on the date hereof (the “Report”), Michael P. Lyons, as Chief Executive Officer of the Company, and Paul M. Todd,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P. Lyons</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 Lyons</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2026</w:t>
            </w:r>
          </w:p>
        </w:tc>
      </w:tr>
      <w:tr>
        <w:trPr>
          <w:trHeight w:val="8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M. Todd</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Todd</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2026</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4"/>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
      <w:numFmt w:val="bullet"/>
      <w:start w:val="1"/>
    </w:lvl>
    <w:lvl w:ilvl="1">
      <w:lvlJc w:val="left"/>
      <w:lvlText w:val="(%2)"/>
      <w:numFmt w:val="lowerRoman"/>
      <w:start w:val="1"/>
    </w:lvl>
  </w:abstractNum>
  <w:abstractNum w:abstractNumId="20">
    <w:nsid w:val="2443A858"/>
    <w:multiLevelType w:val="hybridMultilevel"/>
    <w:lvl w:ilvl="0">
      <w:lvlJc w:val="left"/>
      <w:lvlText w:val="*"/>
      <w:numFmt w:val="bullet"/>
      <w:start w:val="1"/>
    </w:lvl>
    <w:lvl w:ilvl="1">
      <w:lvlJc w:val="left"/>
      <w:lvlText w:val="(%2)"/>
      <w:numFmt w:val="lowerRoman"/>
      <w:start w:val="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3" Type="http://schemas.openxmlformats.org/officeDocument/2006/relationships/hyperlink" Target="https://www.sec.gov/Archives/edgar/data/798354/000079835425000163/ex220630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2026-05-06T06:37:20Z</dcterms:created>
  <dcterms:modified xsi:type="dcterms:W3CDTF">2026-05-06T06:37:20Z</dcterms:modified>
</cp:coreProperties>
</file>