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4330.xml.htm"/>
      <w:bookmarkStart w:id="1" w:name="kswkform4_17908943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 CASTRO HENRIQUE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VEL R. PHILLIPS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FISERV INC</w:t>
              </w:r>
            </w:hyperlink>
            <w:r>
              <w:rPr/>
              <w:t xml:space="preserve"> [ </w:t>
            </w:r>
            <w:r>
              <w:rPr>
                <w:rFonts w:ascii="Times;serif" w:hAnsi="Times;serif"/>
                <w:color w:val="0000FF"/>
                <w:sz w:val="24"/>
                <w:shd w:fill="FFFFFF" w:val="clear"/>
              </w:rPr>
              <w:t>FISV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0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220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Notional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45.18</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2026, in respect of $32,500 of deferred compensation. The number of notional units credited is calculated by dividing the amount of compensation that is deferred by the closing price of the company's common stock on the date of deferral, or last business day prior. On September 30, 2026, the closing price of Fiserv's common stock was $45.18 per share. Following cessation of the reporting person's service to the company, each notional unit will be settled in shares of Fiserv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C. Nelson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2331" TargetMode="External"/><Relationship Id="rId5" Type="http://schemas.openxmlformats.org/officeDocument/2006/relationships/hyperlink" Target="http://www.sec.gov/cgi-bin/browse-edgar?action=getcompany&amp;CIK=0000798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3833</Characters>
  <CharactersWithSpaces>4472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